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Peter</w:t>
      </w:r>
    </w:p>
    <w:p>
      <w:r>
        <w:rPr>
          <w:b w:val="0"/>
          <w:i/>
          <w:color w:val="707070"/>
          <w:sz w:val="19"/>
        </w:rPr>
        <w:t>Carbon8 - 0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No new cross-sell opportunity cards for you this round </w:t>
      </w:r>
      <w:r>
        <w:rPr>
          <w:b w:val="0"/>
          <w:i w:val="0"/>
        </w:rPr>
        <w:t>(no customer cleared the confidence and genuine-gap thresholds). Your major accounts are below, with where they stand.</w:t>
      </w:r>
    </w:p>
    <w:p>
      <w:r>
        <w:rPr>
          <w:b/>
          <w:i w:val="0"/>
          <w:color w:val="707070"/>
        </w:rPr>
        <w:t xml:space="preserve">Note on contacts: </w:t>
      </w:r>
      <w:r>
        <w:rPr>
          <w:b w:val="0"/>
          <w:i/>
          <w:color w:val="707070"/>
          <w:sz w:val="18"/>
        </w:rPr>
        <w:t>there is no email mailbox connected for your accounts yet, so contact names and email timing may be missing or thin. Treat a blank contact as "not in our email data," not "no relationship," and confirm the decision-maker before reaching out.</w:t>
      </w:r>
    </w:p>
    <w:p>
      <w:pPr>
        <w:pStyle w:val="Heading1"/>
      </w:pPr>
      <w:r>
        <w:t>Section 1 - Opportunities</w:t>
      </w:r>
    </w:p>
    <w:p>
      <w:r>
        <w:t>No new cross-sell opportunity cards this round. See your major accounts in Section 2.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 biggest accounts by revenue over the last 12 months. </w:t>
      </w:r>
      <w:r>
        <w:rPr>
          <w:b w:val="0"/>
          <w:i w:val="0"/>
        </w:rPr>
        <w:t xml:space="preserve">Most are well covered (1 buy their full range, no real gap), which is a good thing: these are relationships to protect. </w:t>
      </w:r>
      <w:r>
        <w:rPr>
          <w:b w:val="0"/>
          <w:i w:val="0"/>
        </w:rPr>
        <w:t>1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CoinOp Operations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$48,760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Industrial &amp; Manufacturing)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Houston Group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$42,023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