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Next-Best-Outreach for Peter</w:t>
      </w:r>
    </w:p>
    <w:p>
      <w:r>
        <w:rPr>
          <w:b w:val="0"/>
          <w:i/>
          <w:color w:val="707070"/>
          <w:sz w:val="19"/>
        </w:rPr>
        <w:t>Carbon8 - 0 opportunity cards - generated 2026-06-14 - PROVISIONAL (final once mailbox data is complete)</w:t>
      </w:r>
    </w:p>
    <w:p>
      <w:r>
        <w:rPr>
          <w:b/>
          <w:i w:val="0"/>
          <w:color w:val="1F497D"/>
        </w:rPr>
        <w:t xml:space="preserve">What changed since last time. </w:t>
      </w:r>
      <w:r>
        <w:rPr>
          <w:b w:val="0"/>
          <w:i w:val="0"/>
        </w:rPr>
        <w:t>The previous cards over-counted some categories because of how product tags were stored: cello and laminate finishing was being counted as "embellishment," which inflated that category. That is now fixed at the platform level, so every pitch below reads from corrected data.</w:t>
      </w:r>
    </w:p>
    <w:p>
      <w:r>
        <w:rPr>
          <w:b/>
          <w:i w:val="0"/>
          <w:color w:val="1F497D"/>
        </w:rPr>
        <w:t xml:space="preserve">No new cross-sell opportunity cards for you this round </w:t>
      </w:r>
      <w:r>
        <w:rPr>
          <w:b w:val="0"/>
          <w:i w:val="0"/>
        </w:rPr>
        <w:t>(no customer cleared the confidence and genuine-gap thresholds). Your major accounts are below, with where they stand.</w:t>
      </w:r>
    </w:p>
    <w:p>
      <w:r>
        <w:rPr>
          <w:b/>
          <w:i w:val="0"/>
          <w:color w:val="707070"/>
        </w:rPr>
        <w:t xml:space="preserve">Note on contacts: </w:t>
      </w:r>
      <w:r>
        <w:rPr>
          <w:b w:val="0"/>
          <w:i/>
          <w:color w:val="707070"/>
          <w:sz w:val="18"/>
        </w:rPr>
        <w:t>there is no email mailbox connected for your accounts yet, so contact names and email timing may be missing or thin. Treat a blank contact as "not in our email data," not "no relationship," and confirm the decision-maker before reaching out.</w:t>
      </w:r>
    </w:p>
    <w:p>
      <w:pPr>
        <w:pStyle w:val="Heading1"/>
      </w:pPr>
      <w:r>
        <w:t>Section 1 - Opportunities</w:t>
      </w:r>
    </w:p>
    <w:p>
      <w:r>
        <w:t>No new cross-sell opportunity cards this round. See your major accounts in Section 2.</w:t>
      </w:r>
    </w:p>
    <w:p>
      <w:r>
        <w:br w:type="page"/>
      </w:r>
    </w:p>
    <w:p>
      <w:pPr>
        <w:pStyle w:val="Heading1"/>
      </w:pPr>
      <w:r>
        <w:t>Section 2 - Your major accounts</w:t>
      </w:r>
    </w:p>
    <w:p>
      <w:r>
        <w:rPr>
          <w:b w:val="0"/>
          <w:i w:val="0"/>
        </w:rPr>
        <w:t xml:space="preserve">Your 2 biggest accounts by revenue over the last 12 months. </w:t>
      </w:r>
      <w:r>
        <w:rPr>
          <w:b w:val="0"/>
          <w:i w:val="0"/>
        </w:rPr>
        <w:t xml:space="preserve">Most are well covered (1 buy their full range, no real gap), which is a good thing: these are relationships to protect. </w:t>
      </w:r>
      <w:r>
        <w:rPr>
          <w:b w:val="0"/>
          <w:i w:val="0"/>
        </w:rPr>
        <w:t>1 of them still have a genuine gap worth a conversation, listed first.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448"/>
            <w:shd w:val="clear" w:fill="D5E8F0"/>
            <w:vAlign w:val="center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1872"/>
            <w:shd w:val="clear" w:fill="D5E8F0"/>
            <w:vAlign w:val="center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512"/>
            <w:shd w:val="clear" w:fill="D5E8F0"/>
            <w:vAlign w:val="center"/>
          </w:tcPr>
          <w:p>
            <w:r>
              <w:rPr>
                <w:b/>
                <w:sz w:val="16"/>
              </w:rPr>
              <w:t>12-mo revenue</w:t>
            </w:r>
          </w:p>
        </w:tc>
        <w:tc>
          <w:tcPr>
            <w:tcW w:type="dxa" w:w="1440"/>
            <w:shd w:val="clear" w:fill="D5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096"/>
            <w:shd w:val="clear" w:fill="D5E8F0"/>
            <w:vAlign w:val="center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CoinOp Operations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Industrial &amp; Manufacturing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$48,760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Soft Cover Books (neutral for Industrial &amp; Manufacturing)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Houston Group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$42,023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