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Next-Best-Outreach for Kenneth</w:t>
      </w:r>
    </w:p>
    <w:p>
      <w:r>
        <w:rPr>
          <w:b w:val="0"/>
          <w:i/>
          <w:color w:val="707070"/>
          <w:sz w:val="19"/>
        </w:rPr>
        <w:t>Carbon8 - 3 opportunity cards - generated 2026-06-14 - PROVISIONAL (final once mailbox data is complete)</w:t>
      </w:r>
    </w:p>
    <w:p>
      <w:r>
        <w:rPr>
          <w:b/>
          <w:i w:val="0"/>
          <w:color w:val="1F497D"/>
        </w:rPr>
        <w:t xml:space="preserve">What changed since last time. </w:t>
      </w:r>
      <w:r>
        <w:rPr>
          <w:b w:val="0"/>
          <w:i w:val="0"/>
        </w:rPr>
        <w:t>The previous cards over-counted some categories because of how product tags were stored: cello and laminate finishing was being counted as "embellishment," which inflated that category. That is now fixed at the platform level, so every pitch below reads from corrected data.</w:t>
      </w:r>
    </w:p>
    <w:p>
      <w:r>
        <w:rPr>
          <w:b/>
          <w:i w:val="0"/>
          <w:color w:val="1F497D"/>
        </w:rPr>
        <w:t xml:space="preserve">You will see a lot of Hard Cover / casebound suggestions, and that is the finding, not a glitch. </w:t>
      </w:r>
      <w:r>
        <w:rPr>
          <w:b w:val="0"/>
          <w:i w:val="0"/>
        </w:rPr>
        <w:t xml:space="preserve">Once the tagging was clean, hard cover turned out to be the single biggest genuine gap across your book-and-finishing customers: they already buy embellishment, soft cover and finishing, but have not been sold casebound work, and customers with that exact profile take it up at 3 to 4 times the base rate. Each card tells you whether the pitch </w:t>
      </w:r>
      <w:r>
        <w:rPr>
          <w:b/>
          <w:i w:val="0"/>
        </w:rPr>
        <w:t>fits the customer's industry</w:t>
      </w:r>
      <w:r>
        <w:rPr>
          <w:b w:val="0"/>
          <w:i w:val="0"/>
        </w:rPr>
        <w:t xml:space="preserve"> (for example a property or trade-print client genuinely does books) or is </w:t>
      </w:r>
      <w:r>
        <w:rPr>
          <w:b/>
          <w:i w:val="0"/>
        </w:rPr>
        <w:t>purely statistical</w:t>
      </w:r>
      <w:r>
        <w:rPr>
          <w:b w:val="0"/>
          <w:i w:val="0"/>
        </w:rPr>
        <w:t xml:space="preserve"> (worth a look, no industry signal either way). Where a strong-looking pitch did not fit the customer's business, it is shown as </w:t>
      </w:r>
      <w:r>
        <w:rPr>
          <w:b/>
          <w:i w:val="0"/>
        </w:rPr>
        <w:t>"Not pitched"</w:t>
      </w:r>
      <w:r>
        <w:rPr>
          <w:b w:val="0"/>
          <w:i w:val="0"/>
        </w:rPr>
        <w:t xml:space="preserve"> with the reason, so you can see what the system set aside and why.</w:t>
      </w:r>
    </w:p>
    <w:p>
      <w:pPr>
        <w:pStyle w:val="Heading1"/>
      </w:pPr>
      <w:r>
        <w:t>Section 1 - Opportunities</w:t>
      </w:r>
    </w:p>
    <w:p>
      <w:pPr>
        <w:pStyle w:val="IntenseQuote"/>
      </w:pPr>
      <w:r>
        <w:t>One card per customer. The numbers come straight from QuickBase order history; nothing is rounded up. Mark each one in the feedback line.</w:t>
      </w:r>
    </w:p>
    <w:p>
      <w:pPr>
        <w:pStyle w:val="Heading3"/>
      </w:pPr>
      <w:r>
        <w:rPr>
          <w:b w:val="0"/>
          <w:i w:val="0"/>
        </w:rPr>
        <w:t xml:space="preserve">1. Windsorborn  </w:t>
      </w:r>
      <w:r>
        <w:rPr>
          <w:b/>
          <w:i w:val="0"/>
          <w:color w:val="707070"/>
          <w:sz w:val="20"/>
        </w:rPr>
        <w:t>[Creative Arts &amp; Design]</w:t>
      </w:r>
      <w:r>
        <w:rPr>
          <w:b w:val="0"/>
          <w:i/>
          <w:color w:val="707070"/>
          <w:sz w:val="18"/>
        </w:rPr>
        <w:t xml:space="preserve">   $63,263 in the last 12 months   (deck #11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Alexandra Sherbon &lt;alexandra@windsorborn.com&gt; - active (last active 2026-05-15)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Hard Cover Books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32% of customers who buy Embellishment also buy Hard Cover Books, about 3.9 times more likely than the average customer (8% normally). Buys embellishment (3 jobs) but has 0 jobs in hard cover books.</w:t>
      </w:r>
    </w:p>
    <w:p>
      <w:r>
        <w:rPr>
          <w:b/>
          <w:i w:val="0"/>
        </w:rPr>
        <w:t xml:space="preserve">Industry fit: </w:t>
      </w:r>
      <w:r>
        <w:rPr>
          <w:b w:val="0"/>
          <w:i w:val="0"/>
        </w:rPr>
        <w:t>Neutral fit - Hard Cover Books carries no strong industry signal for Creative Arts &amp; Design; pitched on the statistics.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Due soon: last ordered 75 days ago; they typically reorder about every 47 days, so they're about due.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pPr>
        <w:pStyle w:val="Heading3"/>
      </w:pPr>
      <w:r>
        <w:rPr>
          <w:b w:val="0"/>
          <w:i w:val="0"/>
        </w:rPr>
        <w:t xml:space="preserve">2. Fior Restaurant  </w:t>
      </w:r>
      <w:r>
        <w:rPr>
          <w:b/>
          <w:i w:val="0"/>
          <w:color w:val="707070"/>
          <w:sz w:val="20"/>
        </w:rPr>
        <w:t>[Hospitality Food &amp; Beverage]</w:t>
      </w:r>
      <w:r>
        <w:rPr>
          <w:b w:val="0"/>
          <w:i/>
          <w:color w:val="707070"/>
          <w:sz w:val="18"/>
        </w:rPr>
        <w:t xml:space="preserve">   $2,060 in the last 12 months   (deck #41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Bec Fanning &lt;bec@fiorrestaurant.com.au&gt; - confirm contact - stale &gt;90d (last active 2026-03-16)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Hard Cover Books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32% of customers who buy Embellishment also buy Hard Cover Books, about 3.9 times more likely than the average customer (8% normally). Buys embellishment (2 jobs) but has 0 jobs in hard cover books.</w:t>
      </w:r>
    </w:p>
    <w:p>
      <w:r>
        <w:rPr>
          <w:b/>
          <w:i w:val="0"/>
        </w:rPr>
        <w:t xml:space="preserve">Industry fit: </w:t>
      </w:r>
      <w:r>
        <w:rPr>
          <w:b w:val="0"/>
          <w:i w:val="0"/>
        </w:rPr>
        <w:t>Neutral fit - Hard Cover Books carries no strong industry signal for Hospitality Food &amp; Beverage; pitched on the statistics.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Due soon: last ordered 98 days ago; they typically reorder about every 88 days, so they're about due.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pPr>
        <w:pStyle w:val="Heading3"/>
      </w:pPr>
      <w:r>
        <w:rPr>
          <w:b w:val="0"/>
          <w:i w:val="0"/>
        </w:rPr>
        <w:t xml:space="preserve">3. Social Diary  </w:t>
      </w:r>
      <w:r>
        <w:rPr>
          <w:b/>
          <w:i w:val="0"/>
          <w:color w:val="707070"/>
          <w:sz w:val="20"/>
        </w:rPr>
        <w:t>[Advertising &amp; Marketing]</w:t>
      </w:r>
      <w:r>
        <w:rPr>
          <w:b w:val="0"/>
          <w:i/>
          <w:color w:val="707070"/>
          <w:sz w:val="18"/>
        </w:rPr>
        <w:t xml:space="preserve">   $1,077 in the last 12 months   (deck #47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Tiffany Farrington &lt;tiffany@socialdiary.com.au&gt; - confirm contact - stale &gt;90d (last active 2025-08-07)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Hard Cover Books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32% of customers who buy Embellishment also buy Hard Cover Books, about 3.9 times more likely than the average customer (8% normally). Buys embellishment (2 jobs) but has 0 jobs in hard cover books.</w:t>
      </w:r>
    </w:p>
    <w:p>
      <w:r>
        <w:rPr>
          <w:b/>
          <w:i w:val="0"/>
          <w:color w:val="1B7F3B"/>
        </w:rPr>
        <w:t xml:space="preserve">Fits their business: </w:t>
      </w:r>
      <w:r>
        <w:rPr>
          <w:b w:val="0"/>
          <w:i w:val="0"/>
        </w:rPr>
        <w:t>Advertising &amp; Marketing firms regularly buy Hard Cover Books (26% do).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Overdue: last ordered 313 days ago; they typically reorder about every 160 days, so they're past due.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r>
        <w:br w:type="page"/>
      </w:r>
    </w:p>
    <w:p>
      <w:pPr>
        <w:pStyle w:val="Heading1"/>
      </w:pPr>
      <w:r>
        <w:t>Section 2 - Your major accounts</w:t>
      </w:r>
    </w:p>
    <w:p>
      <w:r>
        <w:rPr>
          <w:b w:val="0"/>
          <w:i w:val="0"/>
        </w:rPr>
        <w:t xml:space="preserve">Your 12 biggest accounts by revenue over the last 12 months. </w:t>
      </w:r>
      <w:r>
        <w:rPr>
          <w:b w:val="0"/>
          <w:i w:val="0"/>
        </w:rPr>
        <w:t xml:space="preserve">Most are well covered (7 buy their full range, no real gap), which is a good thing: these are relationships to protect. </w:t>
      </w:r>
      <w:r>
        <w:rPr>
          <w:b w:val="0"/>
          <w:i w:val="0"/>
        </w:rPr>
        <w:t>5 of them still have a genuine gap worth a conversation, listed first.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94"/>
        <w:gridCol w:w="2094"/>
        <w:gridCol w:w="2094"/>
        <w:gridCol w:w="2094"/>
        <w:gridCol w:w="2094"/>
      </w:tblGrid>
      <w:tr>
        <w:tc>
          <w:tcPr>
            <w:tcW w:type="dxa" w:w="2448"/>
            <w:shd w:val="clear" w:fill="D5E8F0"/>
            <w:vAlign w:val="center"/>
          </w:tcPr>
          <w:p>
            <w:r>
              <w:rPr>
                <w:b/>
                <w:sz w:val="16"/>
              </w:rPr>
              <w:t>Customer</w:t>
            </w:r>
          </w:p>
        </w:tc>
        <w:tc>
          <w:tcPr>
            <w:tcW w:type="dxa" w:w="1872"/>
            <w:shd w:val="clear" w:fill="D5E8F0"/>
            <w:vAlign w:val="center"/>
          </w:tcPr>
          <w:p>
            <w:r>
              <w:rPr>
                <w:b/>
                <w:sz w:val="16"/>
              </w:rPr>
              <w:t>Industry</w:t>
            </w:r>
          </w:p>
        </w:tc>
        <w:tc>
          <w:tcPr>
            <w:tcW w:type="dxa" w:w="1512"/>
            <w:shd w:val="clear" w:fill="D5E8F0"/>
            <w:vAlign w:val="center"/>
          </w:tcPr>
          <w:p>
            <w:r>
              <w:rPr>
                <w:b/>
                <w:sz w:val="16"/>
              </w:rPr>
              <w:t>12-mo revenue</w:t>
            </w:r>
          </w:p>
        </w:tc>
        <w:tc>
          <w:tcPr>
            <w:tcW w:type="dxa" w:w="1440"/>
            <w:shd w:val="clear" w:fill="D5E8F0"/>
            <w:vAlign w:val="center"/>
          </w:tcPr>
          <w:p>
            <w:r>
              <w:rPr>
                <w:b/>
                <w:sz w:val="16"/>
              </w:rPr>
              <w:t>Status</w:t>
            </w:r>
          </w:p>
        </w:tc>
        <w:tc>
          <w:tcPr>
            <w:tcW w:type="dxa" w:w="3096"/>
            <w:shd w:val="clear" w:fill="D5E8F0"/>
            <w:vAlign w:val="center"/>
          </w:tcPr>
          <w:p>
            <w:r>
              <w:rPr>
                <w:b/>
                <w:sz w:val="16"/>
              </w:rPr>
              <w:t>Note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Windsorborn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Creative Arts &amp; Design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$63,263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Real gap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Real gap: Hard Cover Books (neutral for Creative Arts &amp; Design (17%))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Coco Republic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Luxury Brands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$28,655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Real gap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Real gap: Hard Cover Books (fits Luxury Brands (27%))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Ball &amp; Doggett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Trade Printers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$22,205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Real gap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Real gap: Embellishment (neutral for Trade Printers (16%))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Travis Group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Trade Printers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$17,034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Real gap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Real gap: Soft Cover Books (neutral for Trade Printers)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FUJIFILM Business Innovation Australia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Corporate &amp; Professional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$14,646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Real gap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Real gap: Design Services (neutral for Corporate &amp; Professional)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Studio Messa Pty Ltd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Creative Arts &amp; Design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$66,632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Saturated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Buys your full range, no real gap. Retention relationship, protect it.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Fourth Wall Events Pty Ltd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Advertising &amp; Marketing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$18,845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Saturated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Buys your full range, no real gap. Retention relationship, protect it.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Sullivan Strumpf Fine Art Pty Ltd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Creative Arts &amp; Design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$32,963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Retention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No clear new product to add. Reorder / keep-warm relationship.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Ready Media Group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Advertising &amp; Marketing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$23,005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Retention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No clear new product to add. Reorder / keep-warm relationship.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State Library of New South Wales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Education &amp; Training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$19,502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Retention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No clear new product to add. Reorder / keep-warm relationship.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The Growth Activists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Creative Arts &amp; Design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$17,826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Retention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No clear new product to add. Reorder / keep-warm relationship.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Laissez-Faire Catering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Hospitality Food &amp; Beverage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$13,841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Retention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No clear new product to add. Reorder / keep-warm relationship.</w:t>
            </w:r>
          </w:p>
        </w:tc>
      </w:tr>
    </w:tbl>
    <w:sectPr w:rsidR="00FC693F" w:rsidRPr="0006063C" w:rsidSect="00034616">
      <w:pgSz w:w="11909" w:h="16834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