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Next-Best-Outreach for Nic</w:t>
      </w:r>
    </w:p>
    <w:p>
      <w:r>
        <w:rPr>
          <w:b w:val="0"/>
          <w:i/>
          <w:color w:val="707070"/>
          <w:sz w:val="19"/>
        </w:rPr>
        <w:t>Carbon8 - 18 opportunity cards - generated 2026-06-14 - PROVISIONAL (final once mailbox data is complete)</w:t>
      </w:r>
    </w:p>
    <w:p>
      <w:r>
        <w:rPr>
          <w:b/>
          <w:i w:val="0"/>
          <w:color w:val="1F497D"/>
        </w:rPr>
        <w:t xml:space="preserve">What changed since last time. </w:t>
      </w:r>
      <w:r>
        <w:rPr>
          <w:b w:val="0"/>
          <w:i w:val="0"/>
        </w:rPr>
        <w:t>The previous cards over-counted some categories because of how product tags were stored: cello and laminate finishing was being counted as "embellishment," which inflated that category. That is now fixed at the platform level, so every pitch below reads from corrected data.</w:t>
      </w:r>
    </w:p>
    <w:p>
      <w:r>
        <w:rPr>
          <w:b/>
          <w:i w:val="0"/>
          <w:color w:val="1F497D"/>
        </w:rPr>
        <w:t xml:space="preserve">You will see a lot of Hard Cover / casebound suggestions, and that is the finding, not a glitch. </w:t>
      </w:r>
      <w:r>
        <w:rPr>
          <w:b w:val="0"/>
          <w:i w:val="0"/>
        </w:rPr>
        <w:t xml:space="preserve">Once the tagging was clean, hard cover turned out to be the single biggest genuine gap across your book-and-finishing customers: they already buy embellishment, soft cover and finishing, but have not been sold casebound work, and customers with that exact profile take it up at 3 to 4 times the base rate. Each card tells you whether the pitch </w:t>
      </w:r>
      <w:r>
        <w:rPr>
          <w:b/>
          <w:i w:val="0"/>
        </w:rPr>
        <w:t>fits the customer's industry</w:t>
      </w:r>
      <w:r>
        <w:rPr>
          <w:b w:val="0"/>
          <w:i w:val="0"/>
        </w:rPr>
        <w:t xml:space="preserve"> (for example a property or trade-print client genuinely does books) or is </w:t>
      </w:r>
      <w:r>
        <w:rPr>
          <w:b/>
          <w:i w:val="0"/>
        </w:rPr>
        <w:t>purely statistical</w:t>
      </w:r>
      <w:r>
        <w:rPr>
          <w:b w:val="0"/>
          <w:i w:val="0"/>
        </w:rPr>
        <w:t xml:space="preserve"> (worth a look, no industry signal either way). Where a strong-looking pitch did not fit the customer's business, it is shown as </w:t>
      </w:r>
      <w:r>
        <w:rPr>
          <w:b/>
          <w:i w:val="0"/>
        </w:rPr>
        <w:t>"Not pitched"</w:t>
      </w:r>
      <w:r>
        <w:rPr>
          <w:b w:val="0"/>
          <w:i w:val="0"/>
        </w:rPr>
        <w:t xml:space="preserve"> with the reason, so you can see what the system set aside and why.</w:t>
      </w:r>
    </w:p>
    <w:p>
      <w:pPr>
        <w:pStyle w:val="Heading1"/>
      </w:pPr>
      <w:r>
        <w:t>Section 1 - Opportunities</w:t>
      </w:r>
    </w:p>
    <w:p>
      <w:pPr>
        <w:pStyle w:val="IntenseQuote"/>
      </w:pPr>
      <w:r>
        <w:t>One card per customer. The numbers come straight from QuickBase order history; nothing is rounded up. Mark each one in the feedback line.</w:t>
      </w:r>
    </w:p>
    <w:p>
      <w:pPr>
        <w:pStyle w:val="Heading3"/>
      </w:pPr>
      <w:r>
        <w:rPr>
          <w:b w:val="0"/>
          <w:i w:val="0"/>
        </w:rPr>
        <w:t xml:space="preserve">1. Coco Republic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$28,655 in the last 12 months   (deck #2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no QB-won value contact identified - confirm decision-maker before outreach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(7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179 days ago; they typically reorder about every 46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2. Meluka Honey Pty Ltd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$4,953 in the last 12 months   (deck #8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Rebecca Bak &lt;rebeccab@melukaaustralia.com.au&gt; - active (last active 2026-03-18)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(rebeccab@melukaaustralia.com.au) is NOT the loudest contact (elizabethc@mitchellrivergroup.com, 3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(13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145 days ago; they typically reorder about every 135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3. Hatrik House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$15,817 in the last 12 months   (deck #9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Sofia Musarra &lt;sofia@hatrikhouse.com&gt; - confirm contact - stale &gt;90d (last active 2025-04-15)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(sofia@hatrikhouse.com) is NOT the loudest contact (maddison@hatrikhouse.com, 93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68 days ago; they typically reorder about every 36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4. Cambridge Management Pty Ltd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$35,741 in the last 12 months   (deck #14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Suzanne Thoelke &lt;suzanne@ciennagroup.com&gt; - active (last active 2026-05-22)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(6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77 days ago; they typically reorder about every 41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5. Special Group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$56,824 in the last 12 months   (deck #15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Di Williams &lt;di.williams@specialgroup.com&gt; - active (last active 2026-05-22)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(di.williams@specialgroup.com) is NOT the loudest contact (danielle.senecky@specialgroup.com, 58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Hard Cover Books (26%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27 days ago; they typically reorder about every 40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6. Bulgari Australia  </w:t>
      </w:r>
      <w:r>
        <w:rPr>
          <w:b/>
          <w:i w:val="0"/>
          <w:color w:val="707070"/>
          <w:sz w:val="20"/>
        </w:rPr>
        <w:t>[Luxury Brands]</w:t>
      </w:r>
      <w:r>
        <w:rPr>
          <w:b w:val="0"/>
          <w:i/>
          <w:color w:val="707070"/>
          <w:sz w:val="18"/>
        </w:rPr>
        <w:t xml:space="preserve">   $28,889 in the last 12 months   (deck #18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Reverie Acosta &lt;reverie.acosta@bulgari.com&gt; - active (last active 2026-05-13)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(reverie.acosta@bulgari.com) is NOT the loudest contact (victoria.gore@bulgari.com, 161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(34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Luxury Brands firms regularly buy Hard Cover Books (27%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19 days ago; they typically reorder about every 48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7. Peter Meyerratken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$1,781 in the last 12 months   (deck #21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Peter Meyerratken &lt;petermeyerratken@gmail.com&gt; - active (last active 2026-06-05)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10 days ago; they typically reorder about every 50 days, so they're not due yet.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8. Trippas White Group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$1,454 in the last 12 months   (deck #25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Emily Dwyer  &lt;emily.dwyer@trippaswhitegroup.com.au&gt; - confirm contact - stale &gt;90d (last active 2026-02-09)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132 days ago; they typically reorder about every 73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9. Studio Garbett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$10,072 in the last 12 months   (deck #28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Paul Garbett &lt;paul@garbett.com.au&gt; - active (last active 2026-06-01)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98 days ago; they typically reorder about every 99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10. Block Branding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$24,037 in the last 12 months   (deck #31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Josh Mullens &lt;josh.mullens@blockbranding.com&gt; - active (last active 2026-06-11)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Wide Format also buy Design Services, about 1.1 times more likely than the average customer (86% normally). Buys wide format (2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Design Services carries no strong industry signal for Advertising &amp; Marketing;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47 days ago; they typically reorder about every 15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11. RegProm Marketing &amp; Promotions Pty Ltd  </w:t>
      </w:r>
      <w:r>
        <w:rPr>
          <w:b/>
          <w:i w:val="0"/>
          <w:color w:val="707070"/>
          <w:sz w:val="20"/>
        </w:rPr>
        <w:t>[Advertising &amp; Marketing]</w:t>
      </w:r>
      <w:r>
        <w:rPr>
          <w:b w:val="0"/>
          <w:i/>
          <w:color w:val="707070"/>
          <w:sz w:val="18"/>
        </w:rPr>
        <w:t xml:space="preserve">   $4,416 in the last 12 months   (deck #32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Elizabeth Evans &lt;liz@regprom.com.au&gt; - confirm contact - stale &gt;90d (last active 2025-08-08)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86% of customers who buy Hard Cover Books also buy Wide Format, about 2.2 times more likely than the average customer (39% normally). Buys hard cover books (2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Advertising &amp; Marketing firms regularly buy Wide Format (58%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326 days ago; they typically reorder about every 751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12. Squad Ink Pty Ltd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$1,847 in the last 12 months   (deck #33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Ashleigh Jack &lt;ashleigh@squadink.com&gt; - confirm contact - stale &gt;90d (last active 2026-02-25)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(2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119 days ago; they typically reorder about every 72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13. Design Collection Pty Ltd  </w:t>
      </w:r>
      <w:r>
        <w:rPr>
          <w:b/>
          <w:i w:val="0"/>
          <w:color w:val="707070"/>
          <w:sz w:val="20"/>
        </w:rPr>
        <w:t>[Creative Arts &amp; Design]</w:t>
      </w:r>
      <w:r>
        <w:rPr>
          <w:b w:val="0"/>
          <w:i/>
          <w:color w:val="707070"/>
          <w:sz w:val="18"/>
        </w:rPr>
        <w:t xml:space="preserve">   $912 in the last 12 months   (deck #36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Andrea Tan &lt;ant@designcollection.dk&gt; - confirm contact - stale &gt;90d (no email activity on record)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(ant@designcollection.dk) is NOT the loudest contact (sae@designcollection.dk, 7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(7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Creative Arts &amp; Design;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299 days ago; they typically reorder about every 45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14. Pegasus Media &amp; Logistics  </w:t>
      </w:r>
      <w:r>
        <w:rPr>
          <w:b/>
          <w:i w:val="0"/>
          <w:color w:val="707070"/>
          <w:sz w:val="20"/>
        </w:rPr>
        <w:t>[Trade Printers]</w:t>
      </w:r>
      <w:r>
        <w:rPr>
          <w:b w:val="0"/>
          <w:i/>
          <w:color w:val="707070"/>
          <w:sz w:val="18"/>
        </w:rPr>
        <w:t xml:space="preserve">   $31,054 in the last 12 months   (deck #38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Brian Ventour &lt;bventour@pegasus.com.au&gt; - active (last active 2026-05-19)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Wide Format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55% of customers who buy Soft Cover Books also buy Wide Format, about 1.4 times more likely than the average customer (39% normally). Buys soft cover books (10 jobs) but has 0 jobs in wide format.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Trade Printers firms regularly buy Wide Format (46%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160 days ago; they typically reorder about every 93 days, so they're about due. They also tend to pick up around Jul, which is coming up.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15. Rebecca Prokop  </w:t>
      </w:r>
      <w:r>
        <w:rPr>
          <w:b/>
          <w:i w:val="0"/>
          <w:color w:val="707070"/>
          <w:sz w:val="20"/>
        </w:rPr>
        <w:t>[Property &amp; Real Estate]</w:t>
      </w:r>
      <w:r>
        <w:rPr>
          <w:b w:val="0"/>
          <w:i/>
          <w:color w:val="707070"/>
          <w:sz w:val="18"/>
        </w:rPr>
        <w:t xml:space="preserve">   $3,461 in the last 12 months   (deck #40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Rebecca Quinn &lt;rebecca.quinn.author@gmail.com&gt; - confirm contact - stale &gt;90d (last active 2025-07-30)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(3 jobs) but has 0 jobs in hard cover books.</w:t>
      </w:r>
    </w:p>
    <w:p>
      <w:r>
        <w:rPr>
          <w:b/>
          <w:i w:val="0"/>
          <w:color w:val="1B7F3B"/>
        </w:rPr>
        <w:t xml:space="preserve">Fits their business: </w:t>
      </w:r>
      <w:r>
        <w:rPr>
          <w:b w:val="0"/>
          <w:i w:val="0"/>
        </w:rPr>
        <w:t>Property &amp; Real Estate firms regularly buy Hard Cover Books (32% do).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Overdue: last ordered 341 days ago; they typically reorder about every 55 days, so they're past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16. Stedmans Hospitality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$1,327 in the last 12 months   (deck #44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Nina Gravelis &lt;nina@stedmans.com.au&gt; - confirm contact - stale &gt;90d (last active 2025-11-23)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(nina@stedmans.com.au) is NOT the loudest contact (tim@stedmans.com.au, 21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Hard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32% of customers who buy Embellishment also buy Hard Cover Books, about 3.9 times more likely than the average customer (8% normally). Buys embellishment (17 jobs) but has 0 jobs in hard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Hard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124 days ago; they typically reorder about every 176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17. Beckett's Bar and Dining  </w:t>
      </w:r>
      <w:r>
        <w:rPr>
          <w:b/>
          <w:i w:val="0"/>
          <w:color w:val="707070"/>
          <w:sz w:val="20"/>
        </w:rPr>
        <w:t>[Hospitality Food &amp; Beverage]</w:t>
      </w:r>
      <w:r>
        <w:rPr>
          <w:b w:val="0"/>
          <w:i/>
          <w:color w:val="707070"/>
          <w:sz w:val="18"/>
        </w:rPr>
        <w:t xml:space="preserve">   $1,226 in the last 12 months   (deck #45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Julie Maurel &lt;manager@beckettsbardining.com.au&gt; - confirm contact - stale &gt;90d (no email activity on record)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Soft Cover Books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57% of customers who buy Embellishment also buy Soft Cover Books, about 2.1 times more likely than the average customer (28% normally). Buys embellishment (9 jobs) but has 0 jobs in soft cover books.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Soft Cover Books carries no strong industry signal for Hospitality Food &amp; Beverage;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Due soon: last ordered 238 days ago; they typically reorder about every 160 days, so they're about due.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pPr>
        <w:pStyle w:val="Heading3"/>
      </w:pPr>
      <w:r>
        <w:rPr>
          <w:b w:val="0"/>
          <w:i w:val="0"/>
        </w:rPr>
        <w:t xml:space="preserve">18. FUJIFILM Business Innovation Australia  </w:t>
      </w:r>
      <w:r>
        <w:rPr>
          <w:b/>
          <w:i w:val="0"/>
          <w:color w:val="707070"/>
          <w:sz w:val="20"/>
        </w:rPr>
        <w:t>[Corporate &amp; Professional]</w:t>
      </w:r>
      <w:r>
        <w:rPr>
          <w:b w:val="0"/>
          <w:i/>
          <w:color w:val="707070"/>
          <w:sz w:val="18"/>
        </w:rPr>
        <w:t xml:space="preserve">   $14,646 in the last 12 months   (deck #46 of 50)</w:t>
      </w:r>
    </w:p>
    <w:p>
      <w:r>
        <w:rPr>
          <w:b/>
          <w:i w:val="0"/>
        </w:rPr>
        <w:t xml:space="preserve">Who to contact: </w:t>
      </w:r>
      <w:r>
        <w:rPr>
          <w:b w:val="0"/>
          <w:i w:val="0"/>
        </w:rPr>
        <w:t>Courtney Cusack &lt;courtney.cusack.dc@fujifilm.com&gt; - active (last active 2026-05-03)</w:t>
      </w:r>
    </w:p>
    <w:p>
      <w:r>
        <w:rPr>
          <w:b/>
          <w:i w:val="0"/>
          <w:color w:val="B56A00"/>
          <w:sz w:val="18"/>
        </w:rPr>
        <w:t xml:space="preserve">   Note: </w:t>
      </w:r>
      <w:r>
        <w:rPr>
          <w:b w:val="0"/>
          <w:i/>
          <w:color w:val="707070"/>
          <w:sz w:val="18"/>
        </w:rPr>
        <w:t>value contact (courtney.cusack.dc@fujifilm.com) is NOT the loudest contact (angel.khoo.ra@fujifilm.com, 38 emails) - pitch to value, not volume</w:t>
      </w:r>
    </w:p>
    <w:p>
      <w:r>
        <w:rPr>
          <w:b/>
          <w:i w:val="0"/>
        </w:rPr>
        <w:t xml:space="preserve">Pitch: </w:t>
      </w:r>
      <w:r>
        <w:rPr>
          <w:b w:val="0"/>
          <w:i w:val="0"/>
          <w:color w:val="1B7F3B"/>
        </w:rPr>
        <w:t>Design Services</w:t>
      </w:r>
    </w:p>
    <w:p>
      <w:r>
        <w:rPr>
          <w:b/>
          <w:i w:val="0"/>
        </w:rPr>
        <w:t xml:space="preserve">Pattern: </w:t>
      </w:r>
      <w:r>
        <w:rPr>
          <w:b w:val="0"/>
          <w:i w:val="0"/>
        </w:rPr>
        <w:t>92% of customers who buy Wide Format also buy Design Services, about 1.1 times more likely than the average customer (86% normally). Buys wide format (7 jobs) but has 0 jobs in design services.</w:t>
      </w:r>
    </w:p>
    <w:p>
      <w:r>
        <w:rPr>
          <w:b/>
          <w:i w:val="0"/>
        </w:rPr>
        <w:t xml:space="preserve">Industry fit: </w:t>
      </w:r>
      <w:r>
        <w:rPr>
          <w:b w:val="0"/>
          <w:i w:val="0"/>
        </w:rPr>
        <w:t>Neutral fit - Design Services carries no strong industry signal for Corporate &amp; Professional; pitched on the statistics.</w:t>
      </w:r>
    </w:p>
    <w:p>
      <w:r>
        <w:rPr>
          <w:b/>
          <w:i w:val="0"/>
        </w:rPr>
        <w:t xml:space="preserve">Timing: </w:t>
      </w:r>
      <w:r>
        <w:rPr>
          <w:b w:val="0"/>
          <w:i w:val="0"/>
        </w:rPr>
        <w:t>In cadence: last ordered 62 days ago; they typically reorder about every 238 days, so they're not due yet.</w:t>
      </w:r>
    </w:p>
    <w:p>
      <w:r>
        <w:rPr>
          <w:b/>
          <w:i w:val="0"/>
          <w:color w:val="1F497D"/>
        </w:rPr>
        <w:t xml:space="preserve">Your call:   </w:t>
      </w:r>
      <w:r>
        <w:rPr>
          <w:b w:val="0"/>
          <w:i w:val="0"/>
        </w:rPr>
        <w:t xml:space="preserve">[ ] Makes sense      [ ] They already buy this      [ ] Wrong      </w:t>
      </w:r>
      <w:r>
        <w:rPr>
          <w:b w:val="0"/>
          <w:i/>
          <w:color w:val="707070"/>
          <w:sz w:val="18"/>
        </w:rPr>
        <w:t xml:space="preserve">notes: </w:t>
      </w:r>
      <w:r>
        <w:rPr>
          <w:b w:val="0"/>
          <w:i w:val="0"/>
          <w:color w:val="A0A0A0"/>
        </w:rPr>
        <w:t>______________________________</w:t>
      </w:r>
    </w:p>
    <w:p>
      <w:r>
        <w:br w:type="page"/>
      </w:r>
    </w:p>
    <w:p>
      <w:pPr>
        <w:pStyle w:val="Heading1"/>
      </w:pPr>
      <w:r>
        <w:t>Section 2 - Your major accounts</w:t>
      </w:r>
    </w:p>
    <w:p>
      <w:r>
        <w:rPr>
          <w:b w:val="0"/>
          <w:i w:val="0"/>
        </w:rPr>
        <w:t xml:space="preserve">Your 24 biggest accounts by revenue over the last 12 months. </w:t>
      </w:r>
      <w:r>
        <w:rPr>
          <w:b w:val="0"/>
          <w:i w:val="0"/>
        </w:rPr>
        <w:t xml:space="preserve">Most are well covered (17 buy their full range, no real gap), which is a good thing: these are relationships to protect. </w:t>
      </w:r>
      <w:r>
        <w:rPr>
          <w:b w:val="0"/>
          <w:i w:val="0"/>
        </w:rPr>
        <w:t>7 of them still have a genuine gap worth a conversation, listed first.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448"/>
            <w:shd w:val="clear" w:fill="D5E8F0"/>
            <w:vAlign w:val="center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1872"/>
            <w:shd w:val="clear" w:fill="D5E8F0"/>
            <w:vAlign w:val="center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512"/>
            <w:shd w:val="clear" w:fill="D5E8F0"/>
            <w:vAlign w:val="center"/>
          </w:tcPr>
          <w:p>
            <w:r>
              <w:rPr>
                <w:b/>
                <w:sz w:val="16"/>
              </w:rPr>
              <w:t>12-mo revenue</w:t>
            </w:r>
          </w:p>
        </w:tc>
        <w:tc>
          <w:tcPr>
            <w:tcW w:type="dxa" w:w="1440"/>
            <w:shd w:val="clear" w:fill="D5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096"/>
            <w:shd w:val="clear" w:fill="D5E8F0"/>
            <w:vAlign w:val="center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Special Group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$56,824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Cambridge Management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$35,741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Property &amp; Real Estate (32%))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Pegasus Media &amp; Logistics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$31,054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Wide Format (fits Trade Printers (46%))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Bulgari Australia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$28,889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Luxury Brands (27%))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Westpac Banking Corp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$24,775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(neutral for Corporate &amp; Professional (13%))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Block Branding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$24,037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Design Services (neutral for Advertising &amp; Marketing)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Hatrik House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$15,817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Real gap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Real gap: Hard Cover Books (fits Advertising &amp; Marketing (26%))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Andrew Hoyne Design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$107,774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UNSW Sydney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Education &amp; Training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$53,226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EM Branding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$46,279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Opus Agency AU Pty Ltd (Fka) The Company We Keep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$44,015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Peachy Print Australia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$34,349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Hundredweight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Advertising &amp; Marketing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$20,423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Telstra Limited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$18,319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Paspaley Pearling Co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Luxury Brands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$14,438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Saturated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Buys your full range, no real gap. Retention relationship, protect it.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Freedom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$93,330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Popology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$46,008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Anglicare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Government &amp; NFP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$35,844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Enigma Communication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Property &amp; Real Estate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$30,246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Koala Au Operations Pty Ltd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Retail &amp; POS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$21,944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ACS (Australian Computer Society)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Corporate &amp; Professional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$19,445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Look Brilliant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Trade Printers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$17,629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Doodee King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Hospitality Food &amp; Beverage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$16,991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Delibrand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  <w:t>Creative Arts &amp; Design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6"/>
              </w:rPr>
              <w:t>$16,752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Retention</w:t>
            </w:r>
          </w:p>
        </w:tc>
        <w:tc>
          <w:tcPr>
            <w:tcW w:type="dxa" w:w="3096"/>
            <w:vAlign w:val="center"/>
          </w:tcPr>
          <w:p>
            <w:r>
              <w:rPr>
                <w:sz w:val="16"/>
              </w:rPr>
              <w:t>No clear new product to add. Reorder / keep-warm relationship.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