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0C15F9">
      <w:pPr>
        <w:spacing w:line="360" w:lineRule="auto"/>
        <w:jc w:val="center"/>
        <w:rPr>
          <w:rFonts w:ascii="新宋体" w:hAnsi="新宋体" w:eastAsia="新宋体" w:cs="新宋体"/>
          <w:b/>
          <w:bCs/>
          <w:sz w:val="28"/>
          <w:szCs w:val="28"/>
          <w:u w:val="single"/>
        </w:rPr>
      </w:pPr>
      <w:r>
        <w:rPr>
          <w:rFonts w:hint="eastAsia" w:ascii="新宋体" w:hAnsi="新宋体" w:eastAsia="新宋体" w:cs="新宋体"/>
          <w:b/>
          <w:bCs/>
          <w:sz w:val="28"/>
          <w:szCs w:val="28"/>
        </w:rPr>
        <w:t xml:space="preserve">                               合同编号：</w:t>
      </w:r>
      <w:r>
        <w:rPr>
          <w:rFonts w:hint="eastAsia" w:ascii="新宋体" w:hAnsi="新宋体" w:eastAsia="新宋体" w:cs="新宋体"/>
          <w:sz w:val="28"/>
          <w:szCs w:val="28"/>
          <w:u w:val="single"/>
        </w:rPr>
        <w:t xml:space="preserve">         </w:t>
      </w:r>
    </w:p>
    <w:p w14:paraId="32B3E9FB">
      <w:pPr>
        <w:spacing w:line="360" w:lineRule="auto"/>
        <w:jc w:val="center"/>
        <w:rPr>
          <w:rFonts w:ascii="新宋体" w:hAnsi="新宋体" w:eastAsia="新宋体" w:cs="新宋体"/>
          <w:b/>
          <w:bCs/>
          <w:sz w:val="48"/>
          <w:szCs w:val="48"/>
        </w:rPr>
      </w:pPr>
    </w:p>
    <w:p w14:paraId="3B240F5C">
      <w:pPr>
        <w:spacing w:line="360" w:lineRule="auto"/>
        <w:jc w:val="center"/>
        <w:rPr>
          <w:rFonts w:ascii="新宋体" w:hAnsi="新宋体" w:eastAsia="新宋体" w:cs="新宋体"/>
          <w:bCs/>
          <w:sz w:val="48"/>
          <w:szCs w:val="48"/>
        </w:rPr>
      </w:pPr>
      <w:r>
        <w:rPr>
          <w:rFonts w:hint="eastAsia" w:ascii="新宋体" w:hAnsi="新宋体" w:eastAsia="新宋体" w:cs="新宋体"/>
          <w:bCs/>
          <w:sz w:val="48"/>
          <w:szCs w:val="48"/>
        </w:rPr>
        <w:t>建设工程施工合同</w:t>
      </w:r>
    </w:p>
    <w:p w14:paraId="716E19B4">
      <w:pPr>
        <w:spacing w:line="560" w:lineRule="exact"/>
        <w:rPr>
          <w:rFonts w:ascii="新宋体" w:hAnsi="新宋体" w:eastAsia="新宋体" w:cs="新宋体"/>
          <w:b/>
          <w:spacing w:val="20"/>
          <w:sz w:val="36"/>
        </w:rPr>
      </w:pPr>
    </w:p>
    <w:p w14:paraId="27DD1411">
      <w:pPr>
        <w:pStyle w:val="3"/>
        <w:rPr>
          <w:rFonts w:ascii="新宋体" w:hAnsi="新宋体" w:eastAsia="新宋体" w:cs="新宋体"/>
          <w:b/>
          <w:spacing w:val="20"/>
          <w:sz w:val="36"/>
        </w:rPr>
      </w:pPr>
    </w:p>
    <w:p w14:paraId="67578573">
      <w:pPr>
        <w:pStyle w:val="3"/>
        <w:rPr>
          <w:rFonts w:ascii="新宋体" w:hAnsi="新宋体" w:eastAsia="新宋体" w:cs="新宋体"/>
          <w:b/>
          <w:spacing w:val="20"/>
          <w:sz w:val="36"/>
        </w:rPr>
      </w:pPr>
    </w:p>
    <w:p w14:paraId="23A76C3D">
      <w:pPr>
        <w:spacing w:line="560" w:lineRule="exact"/>
        <w:rPr>
          <w:rFonts w:ascii="新宋体" w:hAnsi="新宋体" w:eastAsia="新宋体" w:cs="新宋体"/>
          <w:b/>
          <w:spacing w:val="20"/>
          <w:sz w:val="36"/>
        </w:rPr>
      </w:pPr>
    </w:p>
    <w:p w14:paraId="68F0235E">
      <w:pPr>
        <w:spacing w:line="720" w:lineRule="exact"/>
        <w:ind w:firstLine="321" w:firstLineChars="100"/>
        <w:rPr>
          <w:rFonts w:ascii="新宋体" w:hAnsi="新宋体" w:eastAsia="新宋体" w:cs="新宋体"/>
          <w:b/>
          <w:spacing w:val="20"/>
          <w:sz w:val="28"/>
          <w:szCs w:val="28"/>
          <w:u w:val="single"/>
        </w:rPr>
      </w:pPr>
      <w:r>
        <w:rPr>
          <w:rFonts w:hint="eastAsia" w:ascii="新宋体" w:hAnsi="新宋体" w:eastAsia="新宋体" w:cs="新宋体"/>
          <w:b/>
          <w:spacing w:val="20"/>
          <w:sz w:val="28"/>
          <w:szCs w:val="28"/>
        </w:rPr>
        <w:t>工程名称：</w:t>
      </w:r>
      <w:r>
        <w:rPr>
          <w:rFonts w:hint="eastAsia" w:ascii="新宋体" w:hAnsi="新宋体" w:eastAsia="新宋体" w:cs="新宋体"/>
          <w:b/>
          <w:spacing w:val="20"/>
          <w:sz w:val="28"/>
          <w:szCs w:val="28"/>
          <w:u w:val="single"/>
        </w:rPr>
        <w:t xml:space="preserve">宁波梅山新社区三期工程交通与人防标识标牌工程   </w:t>
      </w:r>
      <w:r>
        <w:rPr>
          <w:rFonts w:hint="eastAsia" w:ascii="新宋体" w:hAnsi="新宋体" w:eastAsia="新宋体" w:cs="新宋体"/>
          <w:b/>
          <w:bCs/>
          <w:sz w:val="28"/>
          <w:szCs w:val="28"/>
          <w:u w:val="single"/>
        </w:rPr>
        <w:t xml:space="preserve">   </w:t>
      </w:r>
    </w:p>
    <w:p w14:paraId="5F89CABA">
      <w:pPr>
        <w:spacing w:line="720" w:lineRule="exact"/>
        <w:ind w:firstLine="341" w:firstLineChars="100"/>
        <w:rPr>
          <w:rFonts w:hint="eastAsia" w:ascii="新宋体" w:hAnsi="新宋体" w:eastAsia="新宋体" w:cs="新宋体"/>
          <w:b/>
          <w:spacing w:val="20"/>
          <w:sz w:val="30"/>
          <w:szCs w:val="30"/>
          <w:u w:val="single"/>
        </w:rPr>
      </w:pPr>
      <w:r>
        <w:rPr>
          <w:rFonts w:hint="eastAsia" w:ascii="新宋体" w:hAnsi="新宋体" w:eastAsia="新宋体" w:cs="新宋体"/>
          <w:b/>
          <w:spacing w:val="20"/>
          <w:sz w:val="30"/>
          <w:szCs w:val="30"/>
        </w:rPr>
        <w:t>发 包 人：</w:t>
      </w:r>
      <w:r>
        <w:rPr>
          <w:rFonts w:hint="eastAsia" w:ascii="新宋体" w:hAnsi="新宋体" w:eastAsia="新宋体" w:cs="新宋体"/>
          <w:b/>
          <w:spacing w:val="20"/>
          <w:sz w:val="30"/>
          <w:szCs w:val="30"/>
          <w:u w:val="single"/>
        </w:rPr>
        <w:t xml:space="preserve">    港城（宁波）城市建设有限公司       </w:t>
      </w:r>
    </w:p>
    <w:p w14:paraId="44332BE5">
      <w:pPr>
        <w:spacing w:line="720" w:lineRule="exact"/>
        <w:ind w:firstLine="341" w:firstLineChars="100"/>
        <w:rPr>
          <w:rFonts w:ascii="新宋体" w:hAnsi="新宋体" w:eastAsia="新宋体" w:cs="新宋体"/>
          <w:b/>
          <w:spacing w:val="20"/>
          <w:sz w:val="30"/>
          <w:szCs w:val="30"/>
          <w:u w:val="single"/>
        </w:rPr>
      </w:pPr>
      <w:r>
        <w:rPr>
          <w:rFonts w:hint="eastAsia" w:ascii="新宋体" w:hAnsi="新宋体" w:eastAsia="新宋体" w:cs="新宋体"/>
          <w:b/>
          <w:spacing w:val="20"/>
          <w:sz w:val="30"/>
          <w:szCs w:val="30"/>
        </w:rPr>
        <w:t>承 包 人：</w:t>
      </w:r>
      <w:r>
        <w:rPr>
          <w:rFonts w:hint="eastAsia" w:ascii="新宋体" w:hAnsi="新宋体" w:eastAsia="新宋体" w:cs="新宋体"/>
          <w:b/>
          <w:spacing w:val="20"/>
          <w:sz w:val="30"/>
          <w:szCs w:val="30"/>
          <w:u w:val="single"/>
        </w:rPr>
        <w:t xml:space="preserve">     杭州红萌交通设施有限公司                                    </w:t>
      </w:r>
    </w:p>
    <w:p w14:paraId="7A27C05D">
      <w:pPr>
        <w:spacing w:line="720" w:lineRule="exact"/>
        <w:ind w:firstLine="341" w:firstLineChars="100"/>
        <w:rPr>
          <w:rFonts w:ascii="新宋体" w:hAnsi="新宋体" w:eastAsia="新宋体" w:cs="新宋体"/>
          <w:b/>
          <w:spacing w:val="20"/>
          <w:sz w:val="28"/>
          <w:u w:val="single"/>
        </w:rPr>
      </w:pPr>
      <w:r>
        <w:rPr>
          <w:rFonts w:hint="eastAsia" w:ascii="新宋体" w:hAnsi="新宋体" w:eastAsia="新宋体" w:cs="新宋体"/>
          <w:b/>
          <w:spacing w:val="20"/>
          <w:sz w:val="30"/>
          <w:szCs w:val="30"/>
        </w:rPr>
        <w:t>签订日期：</w:t>
      </w:r>
      <w:r>
        <w:rPr>
          <w:rFonts w:hint="eastAsia" w:ascii="新宋体" w:hAnsi="新宋体" w:eastAsia="新宋体" w:cs="新宋体"/>
          <w:b/>
          <w:spacing w:val="20"/>
          <w:sz w:val="30"/>
          <w:szCs w:val="30"/>
          <w:u w:val="single"/>
        </w:rPr>
        <w:t xml:space="preserve">         2024年 1月              </w:t>
      </w:r>
      <w:r>
        <w:rPr>
          <w:rFonts w:hint="eastAsia" w:ascii="新宋体" w:hAnsi="新宋体" w:eastAsia="新宋体" w:cs="新宋体"/>
          <w:b/>
          <w:spacing w:val="20"/>
          <w:sz w:val="28"/>
          <w:u w:val="single"/>
        </w:rPr>
        <w:t xml:space="preserve">   </w:t>
      </w:r>
    </w:p>
    <w:p w14:paraId="620B9742">
      <w:pPr>
        <w:spacing w:line="720" w:lineRule="exact"/>
        <w:ind w:firstLine="321" w:firstLineChars="100"/>
        <w:rPr>
          <w:rFonts w:ascii="新宋体" w:hAnsi="新宋体" w:eastAsia="新宋体" w:cs="新宋体"/>
          <w:b/>
          <w:bCs/>
          <w:spacing w:val="20"/>
          <w:sz w:val="28"/>
          <w:u w:val="single"/>
        </w:rPr>
      </w:pPr>
    </w:p>
    <w:p w14:paraId="71B6B955">
      <w:pPr>
        <w:spacing w:line="720" w:lineRule="exact"/>
        <w:ind w:firstLine="321" w:firstLineChars="100"/>
        <w:rPr>
          <w:rFonts w:ascii="新宋体" w:hAnsi="新宋体" w:eastAsia="新宋体" w:cs="新宋体"/>
          <w:b/>
          <w:bCs/>
          <w:spacing w:val="20"/>
          <w:sz w:val="28"/>
          <w:u w:val="single"/>
        </w:rPr>
      </w:pPr>
    </w:p>
    <w:p w14:paraId="09F0E379">
      <w:pPr>
        <w:pStyle w:val="2"/>
        <w:rPr>
          <w:rFonts w:hint="eastAsia" w:ascii="新宋体" w:hAnsi="新宋体" w:eastAsia="新宋体" w:cs="新宋体"/>
          <w:sz w:val="40"/>
        </w:rPr>
      </w:pPr>
      <w:bookmarkStart w:id="0" w:name="_Toc112830177"/>
    </w:p>
    <w:p w14:paraId="79535A84">
      <w:pPr>
        <w:pStyle w:val="2"/>
        <w:rPr>
          <w:rFonts w:hint="eastAsia" w:ascii="新宋体" w:hAnsi="新宋体" w:eastAsia="新宋体" w:cs="新宋体"/>
          <w:sz w:val="40"/>
        </w:rPr>
      </w:pPr>
    </w:p>
    <w:p w14:paraId="0DC477B0">
      <w:pPr>
        <w:pStyle w:val="2"/>
        <w:rPr>
          <w:rFonts w:hint="eastAsia" w:ascii="新宋体" w:hAnsi="新宋体" w:eastAsia="新宋体" w:cs="新宋体"/>
          <w:sz w:val="40"/>
        </w:rPr>
      </w:pPr>
    </w:p>
    <w:p w14:paraId="4530469F">
      <w:pPr>
        <w:pStyle w:val="2"/>
        <w:rPr>
          <w:rFonts w:hint="eastAsia" w:ascii="新宋体" w:hAnsi="新宋体" w:eastAsia="新宋体" w:cs="新宋体"/>
          <w:sz w:val="40"/>
        </w:rPr>
      </w:pPr>
    </w:p>
    <w:p w14:paraId="681217A1">
      <w:pPr>
        <w:pStyle w:val="2"/>
        <w:rPr>
          <w:rFonts w:hint="eastAsia" w:ascii="新宋体" w:hAnsi="新宋体" w:eastAsia="新宋体" w:cs="新宋体"/>
          <w:sz w:val="40"/>
        </w:rPr>
      </w:pPr>
    </w:p>
    <w:p w14:paraId="19215B79">
      <w:pPr>
        <w:rPr>
          <w:rFonts w:hint="eastAsia"/>
        </w:rPr>
      </w:pPr>
    </w:p>
    <w:p w14:paraId="2FBEFE96">
      <w:pPr>
        <w:pStyle w:val="2"/>
        <w:rPr>
          <w:rFonts w:ascii="新宋体" w:hAnsi="新宋体" w:eastAsia="新宋体" w:cs="新宋体"/>
          <w:sz w:val="40"/>
        </w:rPr>
        <w:sectPr>
          <w:pgSz w:w="11906" w:h="16838"/>
          <w:pgMar w:top="1440" w:right="1531" w:bottom="1440" w:left="1531" w:header="851" w:footer="992" w:gutter="0"/>
          <w:cols w:space="720" w:num="1"/>
          <w:docGrid w:linePitch="312" w:charSpace="0"/>
        </w:sectPr>
      </w:pPr>
    </w:p>
    <w:bookmarkEnd w:id="0"/>
    <w:p w14:paraId="4D397ADC">
      <w:pPr>
        <w:spacing w:line="400" w:lineRule="exact"/>
        <w:ind w:firstLine="562"/>
        <w:rPr>
          <w:rFonts w:ascii="新宋体" w:hAnsi="新宋体" w:eastAsia="新宋体" w:cs="新宋体"/>
          <w:b/>
          <w:sz w:val="24"/>
          <w:szCs w:val="24"/>
          <w:u w:val="single"/>
        </w:rPr>
      </w:pPr>
      <w:r>
        <w:rPr>
          <w:rFonts w:hint="eastAsia" w:ascii="新宋体" w:hAnsi="新宋体" w:eastAsia="新宋体" w:cs="新宋体"/>
          <w:b/>
          <w:sz w:val="24"/>
          <w:szCs w:val="24"/>
        </w:rPr>
        <w:t xml:space="preserve">甲方（发包人）： </w:t>
      </w:r>
      <w:r>
        <w:rPr>
          <w:rFonts w:hint="eastAsia" w:ascii="新宋体" w:hAnsi="新宋体" w:eastAsia="新宋体" w:cs="新宋体"/>
          <w:b/>
          <w:sz w:val="24"/>
          <w:szCs w:val="24"/>
          <w:u w:val="single"/>
        </w:rPr>
        <w:t>港城（宁波）城市建设有限公司</w:t>
      </w:r>
    </w:p>
    <w:p w14:paraId="312B36DE">
      <w:pPr>
        <w:spacing w:line="400" w:lineRule="exact"/>
        <w:ind w:firstLine="562"/>
        <w:rPr>
          <w:rFonts w:ascii="新宋体" w:hAnsi="新宋体" w:eastAsia="新宋体" w:cs="新宋体"/>
          <w:b/>
          <w:sz w:val="24"/>
          <w:szCs w:val="24"/>
          <w:u w:val="single"/>
        </w:rPr>
      </w:pPr>
      <w:r>
        <w:rPr>
          <w:rFonts w:hint="eastAsia" w:ascii="新宋体" w:hAnsi="新宋体" w:eastAsia="新宋体" w:cs="新宋体"/>
          <w:b/>
          <w:sz w:val="24"/>
          <w:szCs w:val="24"/>
        </w:rPr>
        <w:t xml:space="preserve">乙方（承包人）： </w:t>
      </w:r>
      <w:r>
        <w:rPr>
          <w:rFonts w:hint="eastAsia" w:ascii="新宋体" w:hAnsi="新宋体" w:eastAsia="新宋体" w:cs="新宋体"/>
          <w:b/>
          <w:sz w:val="24"/>
          <w:szCs w:val="24"/>
          <w:u w:val="single"/>
        </w:rPr>
        <w:t xml:space="preserve"> 杭州红萌交通设施有限公司   </w:t>
      </w:r>
    </w:p>
    <w:p w14:paraId="61E4C088">
      <w:pPr>
        <w:spacing w:line="400" w:lineRule="exact"/>
        <w:ind w:firstLine="616" w:firstLineChars="257"/>
        <w:rPr>
          <w:rFonts w:ascii="新宋体" w:hAnsi="新宋体" w:eastAsia="新宋体" w:cs="新宋体"/>
          <w:sz w:val="24"/>
          <w:szCs w:val="24"/>
          <w:u w:val="single"/>
        </w:rPr>
      </w:pPr>
      <w:r>
        <w:rPr>
          <w:rFonts w:hint="eastAsia" w:ascii="新宋体" w:hAnsi="新宋体" w:eastAsia="新宋体" w:cs="新宋体"/>
          <w:sz w:val="24"/>
          <w:szCs w:val="24"/>
        </w:rPr>
        <w:t>经双方协商，甲方决定将</w:t>
      </w:r>
      <w:r>
        <w:rPr>
          <w:rFonts w:hint="eastAsia" w:ascii="新宋体" w:hAnsi="新宋体" w:eastAsia="新宋体" w:cs="新宋体"/>
          <w:sz w:val="24"/>
          <w:szCs w:val="24"/>
          <w:u w:val="single"/>
        </w:rPr>
        <w:t xml:space="preserve">宁波梅山新社区三期工程交通与人防标识标牌工程 </w:t>
      </w:r>
      <w:r>
        <w:rPr>
          <w:rFonts w:hint="eastAsia" w:ascii="新宋体" w:hAnsi="新宋体" w:eastAsia="新宋体" w:cs="新宋体"/>
          <w:sz w:val="24"/>
          <w:szCs w:val="24"/>
        </w:rPr>
        <w:t>委托给乙方进行施工，为明确双方职责与权益，确保工程质量和工期，双方就施工及有关事项达成如下协议：</w:t>
      </w:r>
    </w:p>
    <w:p w14:paraId="1FBB121A">
      <w:pPr>
        <w:numPr>
          <w:ilvl w:val="0"/>
          <w:numId w:val="1"/>
        </w:numPr>
        <w:spacing w:line="400" w:lineRule="exact"/>
        <w:ind w:firstLine="562"/>
        <w:rPr>
          <w:rFonts w:ascii="新宋体" w:hAnsi="新宋体" w:eastAsia="新宋体" w:cs="新宋体"/>
          <w:b/>
          <w:sz w:val="24"/>
          <w:szCs w:val="24"/>
        </w:rPr>
      </w:pPr>
      <w:r>
        <w:rPr>
          <w:rFonts w:hint="eastAsia" w:ascii="新宋体" w:hAnsi="新宋体" w:eastAsia="新宋体" w:cs="新宋体"/>
          <w:b/>
          <w:sz w:val="24"/>
          <w:szCs w:val="24"/>
        </w:rPr>
        <w:t>工程概况：</w:t>
      </w:r>
    </w:p>
    <w:p w14:paraId="66B22A1D">
      <w:pPr>
        <w:spacing w:line="400" w:lineRule="exact"/>
        <w:ind w:firstLine="600" w:firstLineChars="250"/>
        <w:rPr>
          <w:rFonts w:ascii="新宋体" w:hAnsi="新宋体" w:eastAsia="新宋体" w:cs="新宋体"/>
          <w:sz w:val="24"/>
          <w:szCs w:val="24"/>
        </w:rPr>
      </w:pPr>
      <w:r>
        <w:rPr>
          <w:rFonts w:hint="eastAsia" w:ascii="新宋体" w:hAnsi="新宋体" w:eastAsia="新宋体" w:cs="新宋体"/>
          <w:sz w:val="24"/>
          <w:szCs w:val="24"/>
        </w:rPr>
        <w:t>1.工程名称：</w:t>
      </w:r>
      <w:r>
        <w:rPr>
          <w:rFonts w:hint="eastAsia" w:ascii="新宋体" w:hAnsi="新宋体" w:eastAsia="新宋体" w:cs="新宋体"/>
          <w:sz w:val="24"/>
          <w:szCs w:val="24"/>
          <w:u w:val="single"/>
        </w:rPr>
        <w:t>宁波梅山新社区三期工程交通与人防标识标牌工程</w:t>
      </w:r>
      <w:r>
        <w:rPr>
          <w:rFonts w:hint="eastAsia" w:ascii="新宋体" w:hAnsi="新宋体" w:eastAsia="新宋体" w:cs="新宋体"/>
          <w:sz w:val="24"/>
          <w:szCs w:val="24"/>
        </w:rPr>
        <w:t>。</w:t>
      </w:r>
    </w:p>
    <w:p w14:paraId="5C067CFD">
      <w:pPr>
        <w:spacing w:line="400" w:lineRule="exact"/>
        <w:ind w:firstLine="600" w:firstLineChars="250"/>
        <w:rPr>
          <w:rFonts w:ascii="新宋体" w:hAnsi="新宋体" w:eastAsia="新宋体" w:cs="新宋体"/>
          <w:sz w:val="24"/>
          <w:szCs w:val="24"/>
        </w:rPr>
      </w:pPr>
      <w:r>
        <w:rPr>
          <w:rFonts w:hint="eastAsia" w:ascii="新宋体" w:hAnsi="新宋体" w:eastAsia="新宋体" w:cs="新宋体"/>
          <w:sz w:val="24"/>
          <w:szCs w:val="24"/>
        </w:rPr>
        <w:t>2.工程地点：</w:t>
      </w:r>
      <w:r>
        <w:rPr>
          <w:rFonts w:hint="eastAsia" w:ascii="新宋体" w:hAnsi="新宋体" w:eastAsia="新宋体" w:cs="新宋体"/>
          <w:sz w:val="24"/>
          <w:szCs w:val="24"/>
          <w:u w:val="single"/>
        </w:rPr>
        <w:t xml:space="preserve">      宁波梅山    </w:t>
      </w:r>
      <w:r>
        <w:rPr>
          <w:rFonts w:hint="eastAsia" w:ascii="新宋体" w:hAnsi="新宋体" w:eastAsia="新宋体" w:cs="新宋体"/>
          <w:sz w:val="24"/>
          <w:szCs w:val="24"/>
        </w:rPr>
        <w:t>。</w:t>
      </w:r>
    </w:p>
    <w:p w14:paraId="7FF5E9AC">
      <w:pPr>
        <w:spacing w:line="400" w:lineRule="exact"/>
        <w:ind w:firstLine="560"/>
        <w:rPr>
          <w:rFonts w:ascii="新宋体" w:hAnsi="新宋体" w:eastAsia="新宋体" w:cs="新宋体"/>
          <w:sz w:val="24"/>
          <w:szCs w:val="24"/>
          <w:u w:val="none"/>
        </w:rPr>
      </w:pPr>
      <w:r>
        <w:rPr>
          <w:rFonts w:hint="eastAsia" w:ascii="新宋体" w:hAnsi="新宋体" w:eastAsia="新宋体" w:cs="新宋体"/>
          <w:sz w:val="24"/>
          <w:szCs w:val="24"/>
        </w:rPr>
        <w:t xml:space="preserve"> 3.工程施工内容：</w:t>
      </w:r>
      <w:bookmarkStart w:id="1" w:name="_Toc364002705"/>
      <w:bookmarkStart w:id="2" w:name="_Toc395602346"/>
      <w:bookmarkStart w:id="3" w:name="_Toc395604053"/>
      <w:r>
        <w:rPr>
          <w:rFonts w:hint="eastAsia" w:ascii="新宋体" w:hAnsi="新宋体" w:eastAsia="新宋体" w:cs="新宋体"/>
          <w:sz w:val="24"/>
          <w:szCs w:val="24"/>
          <w:u w:val="none"/>
        </w:rPr>
        <w:t>宁波梅山新社区三期地上、地下车库配套交通设施工程及人防工程标牌，其中包括标志标牌、热熔标线、车位线、警示桩等</w:t>
      </w:r>
    </w:p>
    <w:p w14:paraId="18125DAE">
      <w:pPr>
        <w:spacing w:line="400" w:lineRule="exact"/>
        <w:ind w:firstLine="562"/>
        <w:rPr>
          <w:rFonts w:ascii="新宋体" w:hAnsi="新宋体" w:eastAsia="新宋体" w:cs="新宋体"/>
          <w:b/>
          <w:sz w:val="24"/>
          <w:szCs w:val="24"/>
        </w:rPr>
      </w:pPr>
      <w:r>
        <w:rPr>
          <w:rFonts w:hint="eastAsia" w:ascii="新宋体" w:hAnsi="新宋体" w:eastAsia="新宋体" w:cs="新宋体"/>
          <w:b/>
          <w:sz w:val="24"/>
          <w:szCs w:val="24"/>
        </w:rPr>
        <w:t>二.质量标准、安全及文明施工要求</w:t>
      </w:r>
      <w:bookmarkEnd w:id="1"/>
      <w:bookmarkEnd w:id="2"/>
      <w:bookmarkEnd w:id="3"/>
      <w:r>
        <w:rPr>
          <w:rFonts w:hint="eastAsia" w:ascii="新宋体" w:hAnsi="新宋体" w:eastAsia="新宋体" w:cs="新宋体"/>
          <w:b/>
          <w:sz w:val="24"/>
          <w:szCs w:val="24"/>
        </w:rPr>
        <w:t>：</w:t>
      </w:r>
    </w:p>
    <w:p w14:paraId="13A088CC">
      <w:pPr>
        <w:spacing w:line="400" w:lineRule="exact"/>
        <w:ind w:firstLine="560"/>
        <w:rPr>
          <w:rFonts w:ascii="新宋体" w:hAnsi="新宋体" w:eastAsia="新宋体" w:cs="新宋体"/>
          <w:sz w:val="24"/>
          <w:szCs w:val="24"/>
          <w:u w:val="none"/>
        </w:rPr>
      </w:pPr>
      <w:r>
        <w:rPr>
          <w:rFonts w:hint="eastAsia" w:ascii="新宋体" w:hAnsi="新宋体" w:eastAsia="新宋体" w:cs="新宋体"/>
          <w:sz w:val="24"/>
          <w:szCs w:val="24"/>
        </w:rPr>
        <w:t>工程质量</w:t>
      </w:r>
      <w:r>
        <w:rPr>
          <w:rFonts w:hint="eastAsia" w:ascii="新宋体" w:hAnsi="新宋体" w:eastAsia="新宋体" w:cs="新宋体"/>
          <w:sz w:val="24"/>
          <w:szCs w:val="24"/>
          <w:u w:val="none"/>
        </w:rPr>
        <w:t xml:space="preserve">  按相关验收规范及主管部门要求一次性验收合格标准；</w:t>
      </w:r>
    </w:p>
    <w:p w14:paraId="10ACB083">
      <w:pPr>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安全：</w:t>
      </w:r>
      <w:r>
        <w:rPr>
          <w:rFonts w:hint="eastAsia" w:ascii="新宋体" w:hAnsi="新宋体" w:eastAsia="新宋体" w:cs="新宋体"/>
          <w:sz w:val="24"/>
          <w:szCs w:val="24"/>
          <w:u w:val="single"/>
        </w:rPr>
        <w:t xml:space="preserve">   合格       </w:t>
      </w:r>
      <w:r>
        <w:rPr>
          <w:rFonts w:hint="eastAsia" w:ascii="新宋体" w:hAnsi="新宋体" w:eastAsia="新宋体" w:cs="新宋体"/>
          <w:sz w:val="24"/>
          <w:szCs w:val="24"/>
        </w:rPr>
        <w:t>；</w:t>
      </w:r>
    </w:p>
    <w:p w14:paraId="4BFC401F">
      <w:pPr>
        <w:spacing w:line="400" w:lineRule="exact"/>
        <w:ind w:firstLine="560"/>
        <w:rPr>
          <w:rFonts w:ascii="新宋体" w:hAnsi="新宋体" w:eastAsia="新宋体" w:cs="新宋体"/>
          <w:sz w:val="24"/>
          <w:szCs w:val="24"/>
          <w:u w:val="none"/>
        </w:rPr>
      </w:pPr>
      <w:r>
        <w:rPr>
          <w:rFonts w:hint="eastAsia" w:ascii="新宋体" w:hAnsi="新宋体" w:eastAsia="新宋体" w:cs="新宋体"/>
          <w:sz w:val="24"/>
          <w:szCs w:val="24"/>
        </w:rPr>
        <w:t>文明施工要求：</w:t>
      </w:r>
      <w:r>
        <w:rPr>
          <w:rFonts w:hint="eastAsia" w:ascii="新宋体" w:hAnsi="新宋体" w:eastAsia="新宋体" w:cs="新宋体"/>
          <w:sz w:val="24"/>
          <w:szCs w:val="24"/>
          <w:u w:val="single"/>
        </w:rPr>
        <w:t xml:space="preserve"> </w:t>
      </w:r>
      <w:r>
        <w:rPr>
          <w:rFonts w:hint="eastAsia" w:ascii="新宋体" w:hAnsi="新宋体" w:eastAsia="新宋体" w:cs="新宋体"/>
          <w:sz w:val="24"/>
          <w:szCs w:val="24"/>
          <w:u w:val="none"/>
        </w:rPr>
        <w:t>达到合格要求。施工过程中产生的垃圾由乙方进行及时清理，乙方在施工期间若发生意外事故，均由乙方自行处理解决，与甲方无涉。</w:t>
      </w:r>
    </w:p>
    <w:p w14:paraId="2734B763">
      <w:pPr>
        <w:spacing w:line="400" w:lineRule="exact"/>
        <w:ind w:firstLine="560"/>
        <w:rPr>
          <w:rFonts w:ascii="新宋体" w:hAnsi="新宋体" w:eastAsia="新宋体" w:cs="新宋体"/>
          <w:b/>
          <w:sz w:val="24"/>
          <w:szCs w:val="24"/>
        </w:rPr>
      </w:pPr>
      <w:r>
        <w:rPr>
          <w:rFonts w:hint="eastAsia" w:ascii="新宋体" w:hAnsi="新宋体" w:eastAsia="新宋体" w:cs="新宋体"/>
          <w:sz w:val="24"/>
          <w:szCs w:val="24"/>
        </w:rPr>
        <w:t>三、</w:t>
      </w:r>
      <w:r>
        <w:rPr>
          <w:rFonts w:hint="eastAsia" w:ascii="新宋体" w:hAnsi="新宋体" w:eastAsia="新宋体" w:cs="新宋体"/>
          <w:b/>
          <w:spacing w:val="3"/>
          <w:sz w:val="24"/>
          <w:szCs w:val="24"/>
        </w:rPr>
        <w:t>合同工期</w:t>
      </w:r>
      <w:r>
        <w:rPr>
          <w:rFonts w:hint="eastAsia" w:ascii="新宋体" w:hAnsi="新宋体" w:eastAsia="新宋体" w:cs="新宋体"/>
          <w:b/>
          <w:sz w:val="24"/>
          <w:szCs w:val="24"/>
        </w:rPr>
        <w:t>：</w:t>
      </w:r>
    </w:p>
    <w:p w14:paraId="2C6C0770">
      <w:pPr>
        <w:adjustRightInd w:val="0"/>
        <w:snapToGrid w:val="0"/>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计划开工日期：</w:t>
      </w:r>
      <w:r>
        <w:rPr>
          <w:rFonts w:hint="eastAsia" w:ascii="新宋体" w:hAnsi="新宋体" w:eastAsia="新宋体" w:cs="新宋体"/>
          <w:sz w:val="24"/>
          <w:szCs w:val="24"/>
          <w:u w:val="single"/>
        </w:rPr>
        <w:t xml:space="preserve"> 2024  </w:t>
      </w:r>
      <w:r>
        <w:rPr>
          <w:rFonts w:hint="eastAsia" w:ascii="新宋体" w:hAnsi="新宋体" w:eastAsia="新宋体" w:cs="新宋体"/>
          <w:sz w:val="24"/>
          <w:szCs w:val="24"/>
        </w:rPr>
        <w:t>年</w:t>
      </w:r>
      <w:r>
        <w:rPr>
          <w:rFonts w:hint="eastAsia" w:ascii="新宋体" w:hAnsi="新宋体" w:eastAsia="新宋体" w:cs="新宋体"/>
          <w:sz w:val="24"/>
          <w:szCs w:val="24"/>
          <w:u w:val="single"/>
        </w:rPr>
        <w:t xml:space="preserve"> 1 </w:t>
      </w:r>
      <w:r>
        <w:rPr>
          <w:rFonts w:hint="eastAsia" w:ascii="新宋体" w:hAnsi="新宋体" w:eastAsia="新宋体" w:cs="新宋体"/>
          <w:sz w:val="24"/>
          <w:szCs w:val="24"/>
        </w:rPr>
        <w:t>月</w:t>
      </w:r>
      <w:r>
        <w:rPr>
          <w:rFonts w:hint="eastAsia" w:ascii="新宋体" w:hAnsi="新宋体" w:eastAsia="新宋体" w:cs="新宋体"/>
          <w:sz w:val="24"/>
          <w:szCs w:val="24"/>
          <w:u w:val="single"/>
        </w:rPr>
        <w:t xml:space="preserve"> 18 </w:t>
      </w:r>
      <w:r>
        <w:rPr>
          <w:rFonts w:hint="eastAsia" w:ascii="新宋体" w:hAnsi="新宋体" w:eastAsia="新宋体" w:cs="新宋体"/>
          <w:sz w:val="24"/>
          <w:szCs w:val="24"/>
        </w:rPr>
        <w:t>日。实际开工日期从乙方接到甲方进场施工通知签署日期算起。</w:t>
      </w:r>
    </w:p>
    <w:p w14:paraId="47662F8D">
      <w:pPr>
        <w:adjustRightInd w:val="0"/>
        <w:snapToGrid w:val="0"/>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计划竣工日期：</w:t>
      </w:r>
      <w:r>
        <w:rPr>
          <w:rFonts w:hint="eastAsia" w:ascii="新宋体" w:hAnsi="新宋体" w:eastAsia="新宋体" w:cs="新宋体"/>
          <w:sz w:val="24"/>
          <w:szCs w:val="24"/>
          <w:u w:val="single"/>
        </w:rPr>
        <w:t xml:space="preserve"> 2024  </w:t>
      </w:r>
      <w:r>
        <w:rPr>
          <w:rFonts w:hint="eastAsia" w:ascii="新宋体" w:hAnsi="新宋体" w:eastAsia="新宋体" w:cs="新宋体"/>
          <w:sz w:val="24"/>
          <w:szCs w:val="24"/>
        </w:rPr>
        <w:t>年</w:t>
      </w:r>
      <w:r>
        <w:rPr>
          <w:rFonts w:hint="eastAsia" w:ascii="新宋体" w:hAnsi="新宋体" w:eastAsia="新宋体" w:cs="新宋体"/>
          <w:sz w:val="24"/>
          <w:szCs w:val="24"/>
          <w:u w:val="single"/>
        </w:rPr>
        <w:t xml:space="preserve"> 3 </w:t>
      </w:r>
      <w:r>
        <w:rPr>
          <w:rFonts w:hint="eastAsia" w:ascii="新宋体" w:hAnsi="新宋体" w:eastAsia="新宋体" w:cs="新宋体"/>
          <w:sz w:val="24"/>
          <w:szCs w:val="24"/>
        </w:rPr>
        <w:t>月</w:t>
      </w:r>
      <w:r>
        <w:rPr>
          <w:rFonts w:hint="eastAsia" w:ascii="新宋体" w:hAnsi="新宋体" w:eastAsia="新宋体" w:cs="新宋体"/>
          <w:sz w:val="24"/>
          <w:szCs w:val="24"/>
          <w:u w:val="single"/>
        </w:rPr>
        <w:t xml:space="preserve"> 2 </w:t>
      </w:r>
      <w:r>
        <w:rPr>
          <w:rFonts w:hint="eastAsia" w:ascii="新宋体" w:hAnsi="新宋体" w:eastAsia="新宋体" w:cs="新宋体"/>
          <w:sz w:val="24"/>
          <w:szCs w:val="24"/>
        </w:rPr>
        <w:t>日。实际以竣工验收合格之日为准。</w:t>
      </w:r>
    </w:p>
    <w:p w14:paraId="363B0239">
      <w:pPr>
        <w:adjustRightInd w:val="0"/>
        <w:snapToGrid w:val="0"/>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工期总日历天数：</w:t>
      </w:r>
      <w:r>
        <w:rPr>
          <w:rFonts w:hint="eastAsia" w:ascii="新宋体" w:hAnsi="新宋体" w:eastAsia="新宋体" w:cs="新宋体"/>
          <w:sz w:val="24"/>
          <w:szCs w:val="24"/>
          <w:u w:val="none"/>
        </w:rPr>
        <w:t>45日历天（其中人防、室内划线和消防验收部分要求20天完成）</w:t>
      </w:r>
      <w:r>
        <w:rPr>
          <w:rFonts w:hint="eastAsia" w:ascii="新宋体" w:hAnsi="新宋体" w:eastAsia="新宋体" w:cs="新宋体"/>
          <w:sz w:val="24"/>
          <w:szCs w:val="24"/>
        </w:rPr>
        <w:t>天。工期总日历天数与根据前述计划开竣工日期计算的工期天数不一致的，以工期总日历天数为准。</w:t>
      </w:r>
    </w:p>
    <w:p w14:paraId="10D121EC">
      <w:pPr>
        <w:spacing w:line="400" w:lineRule="exact"/>
        <w:ind w:firstLine="562"/>
        <w:rPr>
          <w:rFonts w:ascii="新宋体" w:hAnsi="新宋体" w:eastAsia="新宋体" w:cs="新宋体"/>
          <w:b/>
          <w:sz w:val="24"/>
          <w:szCs w:val="24"/>
        </w:rPr>
      </w:pPr>
      <w:bookmarkStart w:id="4" w:name="_Toc466362260"/>
      <w:bookmarkStart w:id="5" w:name="_Toc364002706"/>
      <w:r>
        <w:rPr>
          <w:rFonts w:hint="eastAsia" w:ascii="新宋体" w:hAnsi="新宋体" w:eastAsia="新宋体" w:cs="新宋体"/>
          <w:b/>
          <w:sz w:val="24"/>
          <w:szCs w:val="24"/>
        </w:rPr>
        <w:t>四、签约合同价与合同价格形式</w:t>
      </w:r>
      <w:bookmarkEnd w:id="4"/>
      <w:bookmarkEnd w:id="5"/>
      <w:r>
        <w:rPr>
          <w:rFonts w:hint="eastAsia" w:ascii="新宋体" w:hAnsi="新宋体" w:eastAsia="新宋体" w:cs="新宋体"/>
          <w:b/>
          <w:sz w:val="24"/>
          <w:szCs w:val="24"/>
        </w:rPr>
        <w:tab/>
      </w:r>
    </w:p>
    <w:p w14:paraId="420F0CB6">
      <w:pPr>
        <w:adjustRightInd w:val="0"/>
        <w:snapToGrid w:val="0"/>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1.签约合同价为：</w:t>
      </w:r>
    </w:p>
    <w:p w14:paraId="566781E0">
      <w:pPr>
        <w:adjustRightInd w:val="0"/>
        <w:snapToGrid w:val="0"/>
        <w:spacing w:line="400" w:lineRule="exact"/>
        <w:ind w:firstLine="600" w:firstLineChars="250"/>
        <w:rPr>
          <w:rFonts w:ascii="新宋体" w:hAnsi="新宋体" w:eastAsia="新宋体" w:cs="新宋体"/>
          <w:sz w:val="24"/>
          <w:szCs w:val="24"/>
        </w:rPr>
      </w:pPr>
      <w:r>
        <w:rPr>
          <w:rFonts w:hint="eastAsia" w:ascii="新宋体" w:hAnsi="新宋体" w:eastAsia="新宋体" w:cs="新宋体"/>
          <w:sz w:val="24"/>
          <w:szCs w:val="24"/>
        </w:rPr>
        <w:t>人民币（大写）：</w:t>
      </w:r>
      <w:r>
        <w:rPr>
          <w:rFonts w:hint="eastAsia" w:ascii="新宋体" w:hAnsi="新宋体" w:eastAsia="新宋体" w:cs="新宋体"/>
          <w:sz w:val="24"/>
          <w:szCs w:val="24"/>
          <w:u w:val="single"/>
        </w:rPr>
        <w:t xml:space="preserve">柒拾万捌仟零陆拾伍 </w:t>
      </w:r>
      <w:r>
        <w:rPr>
          <w:rFonts w:hint="eastAsia" w:ascii="新宋体" w:hAnsi="新宋体" w:eastAsia="新宋体" w:cs="新宋体"/>
          <w:sz w:val="24"/>
          <w:szCs w:val="24"/>
        </w:rPr>
        <w:t>元(</w:t>
      </w:r>
      <w:r>
        <w:rPr>
          <w:rFonts w:hint="eastAsia" w:ascii="新宋体" w:hAnsi="新宋体" w:eastAsia="新宋体" w:cs="新宋体"/>
          <w:sz w:val="24"/>
          <w:szCs w:val="24"/>
          <w:u w:val="single"/>
        </w:rPr>
        <w:t xml:space="preserve">¥708065 </w:t>
      </w:r>
      <w:r>
        <w:rPr>
          <w:rFonts w:hint="eastAsia" w:ascii="新宋体" w:hAnsi="新宋体" w:eastAsia="新宋体" w:cs="新宋体"/>
          <w:sz w:val="24"/>
          <w:szCs w:val="24"/>
        </w:rPr>
        <w:t>元)；</w:t>
      </w:r>
    </w:p>
    <w:p w14:paraId="5BEE4D75">
      <w:pPr>
        <w:adjustRightInd w:val="0"/>
        <w:snapToGrid w:val="0"/>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其中：</w:t>
      </w:r>
    </w:p>
    <w:p w14:paraId="601E6E99">
      <w:pPr>
        <w:adjustRightInd w:val="0"/>
        <w:snapToGrid w:val="0"/>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中标下浮率：</w:t>
      </w:r>
      <w:r>
        <w:rPr>
          <w:rFonts w:hint="eastAsia" w:ascii="新宋体" w:hAnsi="新宋体" w:eastAsia="新宋体" w:cs="新宋体"/>
          <w:sz w:val="24"/>
          <w:szCs w:val="24"/>
          <w:u w:val="single"/>
        </w:rPr>
        <w:t xml:space="preserve"> 23.13 </w:t>
      </w:r>
      <w:r>
        <w:rPr>
          <w:rFonts w:hint="eastAsia" w:ascii="新宋体" w:hAnsi="新宋体" w:eastAsia="新宋体" w:cs="新宋体"/>
          <w:sz w:val="24"/>
          <w:szCs w:val="24"/>
        </w:rPr>
        <w:t>%</w:t>
      </w:r>
    </w:p>
    <w:p w14:paraId="0A85CF68">
      <w:pPr>
        <w:autoSpaceDE w:val="0"/>
        <w:autoSpaceDN w:val="0"/>
        <w:adjustRightInd w:val="0"/>
        <w:snapToGrid w:val="0"/>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中标下浮率=[1-（中标价/招标控制价）] ×100%（小数点后保留二位，如9.99%）</w:t>
      </w:r>
    </w:p>
    <w:p w14:paraId="4A728ADE">
      <w:pPr>
        <w:adjustRightInd w:val="0"/>
        <w:snapToGrid w:val="0"/>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2.合同价格形式：</w:t>
      </w:r>
      <w:r>
        <w:rPr>
          <w:rFonts w:hint="eastAsia" w:ascii="新宋体" w:hAnsi="新宋体" w:eastAsia="新宋体" w:cs="新宋体"/>
          <w:sz w:val="24"/>
          <w:szCs w:val="24"/>
          <w:u w:val="single"/>
        </w:rPr>
        <w:t>固定单价合同，工程量按实结算，采用增值税一般计税法计价</w:t>
      </w:r>
      <w:r>
        <w:rPr>
          <w:rFonts w:hint="eastAsia" w:ascii="新宋体" w:hAnsi="新宋体" w:eastAsia="新宋体" w:cs="新宋体"/>
          <w:sz w:val="24"/>
          <w:szCs w:val="24"/>
        </w:rPr>
        <w:t xml:space="preserve"> 。</w:t>
      </w:r>
    </w:p>
    <w:p w14:paraId="2746486F">
      <w:pPr>
        <w:spacing w:line="400" w:lineRule="exact"/>
        <w:ind w:firstLine="562"/>
        <w:rPr>
          <w:rFonts w:ascii="新宋体" w:hAnsi="新宋体" w:eastAsia="新宋体" w:cs="新宋体"/>
          <w:b/>
          <w:sz w:val="24"/>
          <w:szCs w:val="24"/>
        </w:rPr>
      </w:pPr>
      <w:bookmarkStart w:id="6" w:name="_Toc466362261"/>
      <w:bookmarkStart w:id="7" w:name="_Toc364002707"/>
      <w:r>
        <w:rPr>
          <w:rFonts w:hint="eastAsia" w:ascii="新宋体" w:hAnsi="新宋体" w:eastAsia="新宋体" w:cs="新宋体"/>
          <w:b/>
          <w:sz w:val="24"/>
          <w:szCs w:val="24"/>
        </w:rPr>
        <w:t>五、项目经理</w:t>
      </w:r>
      <w:bookmarkEnd w:id="6"/>
      <w:bookmarkEnd w:id="7"/>
    </w:p>
    <w:p w14:paraId="4E557F5F">
      <w:pPr>
        <w:adjustRightInd w:val="0"/>
        <w:snapToGrid w:val="0"/>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姓    名：</w:t>
      </w:r>
      <w:r>
        <w:rPr>
          <w:rFonts w:hint="eastAsia" w:ascii="新宋体" w:hAnsi="新宋体" w:eastAsia="新宋体" w:cs="新宋体"/>
          <w:sz w:val="24"/>
          <w:szCs w:val="24"/>
          <w:u w:val="single"/>
        </w:rPr>
        <w:t xml:space="preserve"> 张新亮      </w:t>
      </w:r>
      <w:r>
        <w:rPr>
          <w:rFonts w:hint="eastAsia" w:ascii="新宋体" w:hAnsi="新宋体" w:eastAsia="新宋体" w:cs="新宋体"/>
          <w:sz w:val="24"/>
          <w:szCs w:val="24"/>
        </w:rPr>
        <w:t>；</w:t>
      </w:r>
    </w:p>
    <w:p w14:paraId="4104506E">
      <w:pPr>
        <w:adjustRightInd w:val="0"/>
        <w:snapToGrid w:val="0"/>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身份证号：</w:t>
      </w:r>
      <w:r>
        <w:rPr>
          <w:rFonts w:hint="eastAsia" w:ascii="新宋体" w:hAnsi="新宋体" w:eastAsia="新宋体" w:cs="新宋体"/>
          <w:sz w:val="24"/>
          <w:szCs w:val="24"/>
          <w:u w:val="single"/>
        </w:rPr>
        <w:t xml:space="preserve"> 421127198607111913 </w:t>
      </w:r>
      <w:r>
        <w:rPr>
          <w:rFonts w:hint="eastAsia" w:ascii="新宋体" w:hAnsi="新宋体" w:eastAsia="新宋体" w:cs="新宋体"/>
          <w:sz w:val="24"/>
          <w:szCs w:val="24"/>
        </w:rPr>
        <w:t xml:space="preserve"> ；</w:t>
      </w:r>
    </w:p>
    <w:p w14:paraId="5D8E5B89">
      <w:pPr>
        <w:adjustRightInd w:val="0"/>
        <w:snapToGrid w:val="0"/>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联系电话：</w:t>
      </w:r>
      <w:r>
        <w:rPr>
          <w:rFonts w:hint="eastAsia" w:ascii="新宋体" w:hAnsi="新宋体" w:eastAsia="新宋体" w:cs="新宋体"/>
          <w:sz w:val="24"/>
          <w:szCs w:val="24"/>
          <w:u w:val="single"/>
        </w:rPr>
        <w:t xml:space="preserve"> 0571-88750682   </w:t>
      </w:r>
      <w:r>
        <w:rPr>
          <w:rFonts w:hint="eastAsia" w:ascii="新宋体" w:hAnsi="新宋体" w:eastAsia="新宋体" w:cs="新宋体"/>
          <w:sz w:val="24"/>
          <w:szCs w:val="24"/>
        </w:rPr>
        <w:t>；</w:t>
      </w:r>
    </w:p>
    <w:p w14:paraId="395A6CDD">
      <w:pPr>
        <w:adjustRightInd w:val="0"/>
        <w:snapToGrid w:val="0"/>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电子信箱：</w:t>
      </w:r>
      <w:r>
        <w:rPr>
          <w:rFonts w:hint="eastAsia" w:ascii="新宋体" w:hAnsi="新宋体" w:eastAsia="新宋体" w:cs="新宋体"/>
          <w:sz w:val="24"/>
          <w:szCs w:val="24"/>
          <w:u w:val="single"/>
        </w:rPr>
        <w:t xml:space="preserve">        /         </w:t>
      </w:r>
      <w:r>
        <w:rPr>
          <w:rFonts w:hint="eastAsia" w:ascii="新宋体" w:hAnsi="新宋体" w:eastAsia="新宋体" w:cs="新宋体"/>
          <w:sz w:val="24"/>
          <w:szCs w:val="24"/>
        </w:rPr>
        <w:t>；</w:t>
      </w:r>
    </w:p>
    <w:p w14:paraId="5D0F28CF">
      <w:pPr>
        <w:adjustRightInd w:val="0"/>
        <w:snapToGrid w:val="0"/>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通信地址：</w:t>
      </w:r>
      <w:r>
        <w:rPr>
          <w:rFonts w:hint="eastAsia" w:ascii="新宋体" w:hAnsi="新宋体" w:eastAsia="新宋体" w:cs="新宋体"/>
          <w:sz w:val="24"/>
          <w:szCs w:val="24"/>
          <w:u w:val="single"/>
        </w:rPr>
        <w:t xml:space="preserve">  杭州市莫干山路1418-78  </w:t>
      </w:r>
      <w:r>
        <w:rPr>
          <w:rFonts w:hint="eastAsia" w:ascii="新宋体" w:hAnsi="新宋体" w:eastAsia="新宋体" w:cs="新宋体"/>
          <w:sz w:val="24"/>
          <w:szCs w:val="24"/>
        </w:rPr>
        <w:t>；</w:t>
      </w:r>
    </w:p>
    <w:p w14:paraId="299D74D4">
      <w:pPr>
        <w:spacing w:line="400" w:lineRule="exact"/>
        <w:ind w:firstLine="562"/>
        <w:rPr>
          <w:rFonts w:ascii="新宋体" w:hAnsi="新宋体" w:eastAsia="新宋体" w:cs="新宋体"/>
          <w:b/>
          <w:sz w:val="24"/>
          <w:szCs w:val="24"/>
        </w:rPr>
      </w:pPr>
      <w:r>
        <w:rPr>
          <w:rFonts w:hint="eastAsia" w:ascii="新宋体" w:hAnsi="新宋体" w:eastAsia="新宋体" w:cs="新宋体"/>
          <w:b/>
          <w:sz w:val="24"/>
          <w:szCs w:val="24"/>
        </w:rPr>
        <w:t>六、履约担保</w:t>
      </w:r>
    </w:p>
    <w:p w14:paraId="1897A483">
      <w:pPr>
        <w:adjustRightInd w:val="0"/>
        <w:snapToGrid w:val="0"/>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承包人供履约担保，履约保证金：</w:t>
      </w:r>
      <w:r>
        <w:rPr>
          <w:rFonts w:hint="eastAsia" w:ascii="新宋体" w:hAnsi="新宋体" w:eastAsia="新宋体" w:cs="新宋体"/>
          <w:sz w:val="24"/>
          <w:szCs w:val="24"/>
          <w:u w:val="single"/>
        </w:rPr>
        <w:t xml:space="preserve">  2   </w:t>
      </w:r>
      <w:r>
        <w:rPr>
          <w:rFonts w:hint="eastAsia" w:ascii="新宋体" w:hAnsi="新宋体" w:eastAsia="新宋体" w:cs="新宋体"/>
          <w:sz w:val="24"/>
          <w:szCs w:val="24"/>
        </w:rPr>
        <w:t>%（合同签约总价的2%）</w:t>
      </w:r>
    </w:p>
    <w:p w14:paraId="0C8EF19C">
      <w:pPr>
        <w:adjustRightInd w:val="0"/>
        <w:snapToGrid w:val="0"/>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履约担保形式为：</w:t>
      </w:r>
      <w:r>
        <w:rPr>
          <w:rFonts w:hint="eastAsia" w:ascii="新宋体" w:hAnsi="新宋体" w:eastAsia="新宋体" w:cs="新宋体"/>
          <w:sz w:val="24"/>
          <w:szCs w:val="24"/>
          <w:u w:val="single"/>
        </w:rPr>
        <w:t xml:space="preserve"> 保证金或银行保函或保证保险  </w:t>
      </w:r>
      <w:r>
        <w:rPr>
          <w:rFonts w:hint="eastAsia" w:ascii="新宋体" w:hAnsi="新宋体" w:eastAsia="新宋体" w:cs="新宋体"/>
          <w:sz w:val="24"/>
          <w:szCs w:val="24"/>
        </w:rPr>
        <w:t>。</w:t>
      </w:r>
    </w:p>
    <w:p w14:paraId="62D7B41A">
      <w:pPr>
        <w:adjustRightInd w:val="0"/>
        <w:snapToGrid w:val="0"/>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履约担保期限：</w:t>
      </w:r>
      <w:r>
        <w:rPr>
          <w:rFonts w:hint="eastAsia" w:ascii="新宋体" w:hAnsi="新宋体" w:eastAsia="新宋体" w:cs="新宋体"/>
          <w:sz w:val="24"/>
          <w:szCs w:val="24"/>
          <w:u w:val="none"/>
        </w:rPr>
        <w:t>自合同生效之日起至发包人签认并由监理单位向承包人出具工程竣工验收记录之日止</w:t>
      </w:r>
      <w:r>
        <w:rPr>
          <w:rFonts w:hint="eastAsia" w:ascii="新宋体" w:hAnsi="新宋体" w:eastAsia="新宋体" w:cs="新宋体"/>
          <w:sz w:val="24"/>
          <w:szCs w:val="24"/>
        </w:rPr>
        <w:t>。</w:t>
      </w:r>
      <w:bookmarkStart w:id="8" w:name="_Toc466362278"/>
      <w:bookmarkStart w:id="9" w:name="_Toc364002724"/>
    </w:p>
    <w:p w14:paraId="08253FC3">
      <w:pPr>
        <w:adjustRightInd w:val="0"/>
        <w:snapToGrid w:val="0"/>
        <w:spacing w:line="400" w:lineRule="exact"/>
        <w:ind w:firstLine="360" w:firstLineChars="150"/>
        <w:rPr>
          <w:rFonts w:ascii="新宋体" w:hAnsi="新宋体" w:eastAsia="新宋体" w:cs="新宋体"/>
          <w:sz w:val="24"/>
          <w:szCs w:val="24"/>
        </w:rPr>
      </w:pPr>
      <w:r>
        <w:rPr>
          <w:rFonts w:hint="eastAsia" w:ascii="新宋体" w:hAnsi="新宋体" w:eastAsia="新宋体" w:cs="新宋体"/>
          <w:sz w:val="24"/>
          <w:szCs w:val="24"/>
        </w:rPr>
        <w:t>七、工程合同价款的调整</w:t>
      </w:r>
    </w:p>
    <w:p w14:paraId="180BC80D">
      <w:pPr>
        <w:adjustRightInd w:val="0"/>
        <w:snapToGrid w:val="0"/>
        <w:spacing w:line="400" w:lineRule="exact"/>
        <w:ind w:firstLine="480" w:firstLineChars="200"/>
        <w:rPr>
          <w:rFonts w:ascii="新宋体" w:hAnsi="新宋体" w:eastAsia="新宋体" w:cs="新宋体"/>
          <w:sz w:val="24"/>
          <w:szCs w:val="24"/>
        </w:rPr>
      </w:pPr>
      <w:r>
        <w:rPr>
          <w:rFonts w:hint="eastAsia" w:ascii="新宋体" w:hAnsi="新宋体" w:eastAsia="新宋体" w:cs="新宋体"/>
          <w:sz w:val="24"/>
          <w:szCs w:val="24"/>
        </w:rPr>
        <w:t xml:space="preserve">(1)、在合同期内发生下列情况的合同价款可以调整： </w:t>
      </w:r>
    </w:p>
    <w:p w14:paraId="170654A5">
      <w:pPr>
        <w:adjustRightInd w:val="0"/>
        <w:snapToGrid w:val="0"/>
        <w:spacing w:line="400" w:lineRule="exact"/>
        <w:ind w:firstLine="600" w:firstLineChars="250"/>
        <w:rPr>
          <w:rFonts w:ascii="新宋体" w:hAnsi="新宋体" w:eastAsia="新宋体" w:cs="新宋体"/>
          <w:sz w:val="24"/>
          <w:szCs w:val="24"/>
        </w:rPr>
      </w:pPr>
      <w:r>
        <w:rPr>
          <w:rFonts w:hint="eastAsia" w:ascii="新宋体" w:hAnsi="新宋体" w:eastAsia="新宋体" w:cs="新宋体"/>
          <w:sz w:val="24"/>
          <w:szCs w:val="24"/>
        </w:rPr>
        <w:t>①发包人提供的工程量清单项目或数量有误；</w:t>
      </w:r>
    </w:p>
    <w:p w14:paraId="68EA0113">
      <w:pPr>
        <w:adjustRightInd w:val="0"/>
        <w:snapToGrid w:val="0"/>
        <w:spacing w:line="400" w:lineRule="exact"/>
        <w:ind w:firstLine="600" w:firstLineChars="250"/>
        <w:rPr>
          <w:rFonts w:ascii="新宋体" w:hAnsi="新宋体" w:eastAsia="新宋体" w:cs="新宋体"/>
          <w:sz w:val="24"/>
          <w:szCs w:val="24"/>
        </w:rPr>
      </w:pPr>
      <w:r>
        <w:rPr>
          <w:rFonts w:hint="eastAsia" w:ascii="新宋体" w:hAnsi="新宋体" w:eastAsia="新宋体" w:cs="新宋体"/>
          <w:sz w:val="24"/>
          <w:szCs w:val="24"/>
        </w:rPr>
        <w:t>②涉及工程变更，施工措施费按投标报价包干使用，不作调整；</w:t>
      </w:r>
    </w:p>
    <w:p w14:paraId="74382C83">
      <w:pPr>
        <w:adjustRightInd w:val="0"/>
        <w:snapToGrid w:val="0"/>
        <w:spacing w:line="400" w:lineRule="exact"/>
        <w:ind w:firstLine="600" w:firstLineChars="250"/>
        <w:rPr>
          <w:rFonts w:ascii="新宋体" w:hAnsi="新宋体" w:eastAsia="新宋体" w:cs="新宋体"/>
          <w:sz w:val="24"/>
          <w:szCs w:val="24"/>
        </w:rPr>
      </w:pPr>
      <w:r>
        <w:rPr>
          <w:rFonts w:hint="eastAsia" w:ascii="新宋体" w:hAnsi="新宋体" w:eastAsia="新宋体" w:cs="新宋体"/>
          <w:sz w:val="24"/>
          <w:szCs w:val="24"/>
        </w:rPr>
        <w:t>③发包人及监理签证；</w:t>
      </w:r>
    </w:p>
    <w:p w14:paraId="2A108C09">
      <w:pPr>
        <w:adjustRightInd w:val="0"/>
        <w:snapToGrid w:val="0"/>
        <w:spacing w:line="400" w:lineRule="exact"/>
        <w:ind w:firstLine="480" w:firstLineChars="200"/>
        <w:rPr>
          <w:rFonts w:ascii="新宋体" w:hAnsi="新宋体" w:eastAsia="新宋体" w:cs="新宋体"/>
          <w:sz w:val="24"/>
          <w:szCs w:val="24"/>
        </w:rPr>
      </w:pPr>
      <w:r>
        <w:rPr>
          <w:rFonts w:hint="eastAsia" w:ascii="新宋体" w:hAnsi="新宋体" w:eastAsia="新宋体" w:cs="新宋体"/>
          <w:sz w:val="24"/>
          <w:szCs w:val="24"/>
        </w:rPr>
        <w:t xml:space="preserve"> (2)调整费用单价的办法：</w:t>
      </w:r>
    </w:p>
    <w:p w14:paraId="57D90538">
      <w:pPr>
        <w:adjustRightInd w:val="0"/>
        <w:snapToGrid w:val="0"/>
        <w:spacing w:line="400" w:lineRule="exact"/>
        <w:ind w:firstLine="600" w:firstLineChars="250"/>
        <w:rPr>
          <w:rFonts w:ascii="新宋体" w:hAnsi="新宋体" w:eastAsia="新宋体" w:cs="新宋体"/>
          <w:sz w:val="24"/>
          <w:szCs w:val="24"/>
        </w:rPr>
      </w:pPr>
      <w:r>
        <w:rPr>
          <w:rFonts w:hint="eastAsia" w:ascii="新宋体" w:hAnsi="新宋体" w:eastAsia="新宋体" w:cs="新宋体"/>
          <w:sz w:val="24"/>
          <w:szCs w:val="24"/>
        </w:rPr>
        <w:t>①工程变更、设计变更引起工程量清单项目工程数量的增减，</w:t>
      </w:r>
      <w:r>
        <w:rPr>
          <w:rFonts w:hint="eastAsia" w:ascii="新宋体" w:hAnsi="新宋体" w:eastAsia="新宋体" w:cs="新宋体"/>
          <w:b/>
          <w:sz w:val="24"/>
          <w:szCs w:val="24"/>
        </w:rPr>
        <w:t>执行招标文件提供的综合单价结合中标下浮率计算价格</w:t>
      </w:r>
      <w:r>
        <w:rPr>
          <w:rFonts w:hint="eastAsia" w:ascii="新宋体" w:hAnsi="新宋体" w:eastAsia="新宋体" w:cs="新宋体"/>
          <w:sz w:val="24"/>
          <w:szCs w:val="24"/>
        </w:rPr>
        <w:t>。若综合单价显失公平或明显不合理的不平衡报价，按建设工程量清单计算规范（GB50500-2013）相关规定进行调整。</w:t>
      </w:r>
    </w:p>
    <w:p w14:paraId="3BAA07EA">
      <w:pPr>
        <w:adjustRightInd w:val="0"/>
        <w:snapToGrid w:val="0"/>
        <w:spacing w:line="400" w:lineRule="exact"/>
        <w:ind w:firstLine="600" w:firstLineChars="250"/>
        <w:rPr>
          <w:rFonts w:ascii="新宋体" w:hAnsi="新宋体" w:eastAsia="新宋体" w:cs="新宋体"/>
          <w:sz w:val="24"/>
          <w:szCs w:val="24"/>
        </w:rPr>
      </w:pPr>
      <w:r>
        <w:rPr>
          <w:rFonts w:hint="eastAsia" w:ascii="新宋体" w:hAnsi="新宋体" w:eastAsia="新宋体" w:cs="新宋体"/>
          <w:sz w:val="24"/>
          <w:szCs w:val="24"/>
        </w:rPr>
        <w:t>②发包人提供的工程量清单项目漏项，或设计变更引起新的工程项目，其相应单价的确定方法为：</w:t>
      </w:r>
    </w:p>
    <w:p w14:paraId="04FE7C4B">
      <w:pPr>
        <w:adjustRightInd w:val="0"/>
        <w:snapToGrid w:val="0"/>
        <w:spacing w:line="400" w:lineRule="exact"/>
        <w:ind w:firstLine="600" w:firstLineChars="250"/>
        <w:rPr>
          <w:rFonts w:ascii="新宋体" w:hAnsi="新宋体" w:eastAsia="新宋体" w:cs="新宋体"/>
          <w:sz w:val="24"/>
          <w:szCs w:val="24"/>
        </w:rPr>
      </w:pPr>
      <w:r>
        <w:rPr>
          <w:rFonts w:hint="eastAsia" w:ascii="新宋体" w:hAnsi="新宋体" w:eastAsia="新宋体" w:cs="新宋体"/>
          <w:sz w:val="24"/>
          <w:szCs w:val="24"/>
        </w:rPr>
        <w:t>合同中有类似工程项目单价的，参照招标文件提供的类似工程项目综合单价结合中标下浮率计算确定；</w:t>
      </w:r>
    </w:p>
    <w:p w14:paraId="31F30C62">
      <w:pPr>
        <w:adjustRightInd w:val="0"/>
        <w:snapToGrid w:val="0"/>
        <w:spacing w:line="400" w:lineRule="exact"/>
        <w:ind w:firstLine="600" w:firstLineChars="250"/>
        <w:rPr>
          <w:rFonts w:ascii="新宋体" w:hAnsi="新宋体" w:eastAsia="新宋体" w:cs="新宋体"/>
          <w:sz w:val="24"/>
          <w:szCs w:val="24"/>
        </w:rPr>
      </w:pPr>
      <w:r>
        <w:rPr>
          <w:rFonts w:hint="eastAsia" w:ascii="新宋体" w:hAnsi="新宋体" w:eastAsia="新宋体" w:cs="新宋体"/>
          <w:sz w:val="24"/>
          <w:szCs w:val="24"/>
        </w:rPr>
        <w:t>合同中没有类似工程项目单价的，由承包人依据发包人招标控制价确定的单价分析表中的工、料、机单价和各项取费标准，并结合中标浮动率计算，经发包人或其委托的咨询单位工程师审定后执行。</w:t>
      </w:r>
    </w:p>
    <w:p w14:paraId="542EDBD9">
      <w:pPr>
        <w:adjustRightInd w:val="0"/>
        <w:snapToGrid w:val="0"/>
        <w:spacing w:line="400" w:lineRule="exact"/>
        <w:ind w:firstLine="600" w:firstLineChars="250"/>
        <w:rPr>
          <w:rFonts w:ascii="新宋体" w:hAnsi="新宋体" w:eastAsia="新宋体" w:cs="新宋体"/>
          <w:sz w:val="24"/>
          <w:szCs w:val="24"/>
        </w:rPr>
      </w:pPr>
      <w:r>
        <w:rPr>
          <w:rFonts w:hint="eastAsia" w:ascii="新宋体" w:hAnsi="新宋体" w:eastAsia="新宋体" w:cs="新宋体"/>
          <w:sz w:val="24"/>
          <w:szCs w:val="24"/>
        </w:rPr>
        <w:t>③计价依据：</w:t>
      </w:r>
    </w:p>
    <w:p w14:paraId="24B50247">
      <w:pPr>
        <w:spacing w:line="400" w:lineRule="exact"/>
        <w:ind w:firstLine="600" w:firstLineChars="250"/>
        <w:rPr>
          <w:rFonts w:ascii="新宋体" w:hAnsi="新宋体" w:eastAsia="新宋体" w:cs="新宋体"/>
          <w:sz w:val="24"/>
          <w:szCs w:val="24"/>
        </w:rPr>
      </w:pPr>
      <w:r>
        <w:rPr>
          <w:rFonts w:hint="eastAsia" w:ascii="新宋体" w:hAnsi="新宋体" w:eastAsia="新宋体" w:cs="新宋体"/>
          <w:sz w:val="24"/>
          <w:szCs w:val="24"/>
        </w:rPr>
        <w:t>清单工程量计算依据：建设单位提供的由宁波市建筑设计研究院有限公司设计的《宁波梅山新社区三期地下室整体平面图》施工图PDF版和《宁波梅山新社区三期总平面图》施工图PDF版;《建设工程工程量清单计价规范》（GB50856-2013）；《市政工程工程量计算规范》（ GB50857-2013 )；《浙江省市政工程预算定额02018版)》；《浙江省通用安装工程预算定额(2018版)》；《浙江省建设工程施工机械台班费用定额(2018)；现行浙江省和宁波市行政主管部门发布的相关法律、法规、计价文件。</w:t>
      </w:r>
    </w:p>
    <w:p w14:paraId="4F252D97">
      <w:pPr>
        <w:spacing w:line="400" w:lineRule="exact"/>
        <w:ind w:firstLine="720" w:firstLineChars="300"/>
        <w:jc w:val="left"/>
        <w:rPr>
          <w:rFonts w:ascii="新宋体" w:hAnsi="新宋体" w:eastAsia="新宋体" w:cs="新宋体"/>
          <w:sz w:val="24"/>
          <w:szCs w:val="24"/>
        </w:rPr>
      </w:pPr>
      <w:r>
        <w:rPr>
          <w:rFonts w:hint="eastAsia" w:ascii="新宋体" w:hAnsi="新宋体" w:eastAsia="新宋体" w:cs="新宋体"/>
          <w:sz w:val="24"/>
          <w:szCs w:val="24"/>
        </w:rPr>
        <w:t>④人工、材料信息价：首先参照浙江省交通工程管理中心公布的《浙江交通建设工程质监与造价(价格信息专辑)》(总第237期) 宁波信息价(除税价)，没有的依次采用《宁波建设工程造价信息》2023年第10期北仑信息价(除税价)、《宁波建设工程造价信息》2023年第10期宁波信息价(除税价)、《浙江造价信息》2023年第10期(除税价)，无价材料采用市场询价计入。所有信息价、市场价、机械台班等都按除税价计取。</w:t>
      </w:r>
    </w:p>
    <w:p w14:paraId="6052E4DA">
      <w:pPr>
        <w:adjustRightInd w:val="0"/>
        <w:snapToGrid w:val="0"/>
        <w:spacing w:line="400" w:lineRule="exact"/>
        <w:ind w:firstLine="720" w:firstLineChars="300"/>
        <w:rPr>
          <w:rFonts w:ascii="新宋体" w:hAnsi="新宋体" w:eastAsia="新宋体" w:cs="新宋体"/>
          <w:sz w:val="24"/>
          <w:szCs w:val="24"/>
        </w:rPr>
      </w:pPr>
      <w:r>
        <w:rPr>
          <w:rFonts w:hint="eastAsia" w:ascii="新宋体" w:hAnsi="新宋体" w:eastAsia="新宋体" w:cs="新宋体"/>
          <w:sz w:val="24"/>
          <w:szCs w:val="24"/>
        </w:rPr>
        <w:t>⑤施工取费费率：本工程按市政道路、排水、河道护岸、水处理构筑物及城市综合管廊、生活垃圾处理工程中值取定，不计提前竣工增加费、创标化工地增加费，规费按市政道路、排水、河道护岸、水处理构筑物及城市综合管廊、生活垃圾处理工程相应费率乘30%计取，税金根据《关于增值税调整后我省建设工程计价依据增值税税率及有关计价调整的通知》（浙建建发[2019]92 号)增值税税率按增值税一般计税法 9%计入。</w:t>
      </w:r>
    </w:p>
    <w:p w14:paraId="672267B8">
      <w:pPr>
        <w:adjustRightInd w:val="0"/>
        <w:snapToGrid w:val="0"/>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无信息价材料（投标文件中已报价部分除外）须经招标采购（须发包人、监理参加）或发包人审定，价格不下浮。</w:t>
      </w:r>
    </w:p>
    <w:p w14:paraId="2DF1E698">
      <w:pPr>
        <w:tabs>
          <w:tab w:val="left" w:pos="3105"/>
        </w:tabs>
        <w:adjustRightInd w:val="0"/>
        <w:snapToGrid w:val="0"/>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发包人组织对施工单位上报的价格进行审核，结算造价最终须经发包人委托的第三方确认。</w:t>
      </w:r>
    </w:p>
    <w:p w14:paraId="34282C83">
      <w:pPr>
        <w:tabs>
          <w:tab w:val="left" w:pos="3105"/>
        </w:tabs>
        <w:adjustRightInd w:val="0"/>
        <w:snapToGrid w:val="0"/>
        <w:spacing w:line="400" w:lineRule="exact"/>
        <w:ind w:firstLine="360" w:firstLineChars="150"/>
        <w:rPr>
          <w:rFonts w:ascii="新宋体" w:hAnsi="新宋体" w:eastAsia="新宋体" w:cs="新宋体"/>
          <w:sz w:val="24"/>
          <w:szCs w:val="24"/>
        </w:rPr>
      </w:pPr>
      <w:r>
        <w:rPr>
          <w:rFonts w:hint="eastAsia" w:ascii="新宋体" w:hAnsi="新宋体" w:eastAsia="新宋体" w:cs="新宋体"/>
          <w:sz w:val="24"/>
          <w:szCs w:val="24"/>
        </w:rPr>
        <w:t>（3）施工期间市场价格波动造成的人工、材料价格及机械价格均不予调整。</w:t>
      </w:r>
    </w:p>
    <w:p w14:paraId="04406886">
      <w:pPr>
        <w:tabs>
          <w:tab w:val="left" w:pos="3105"/>
        </w:tabs>
        <w:adjustRightInd w:val="0"/>
        <w:snapToGrid w:val="0"/>
        <w:spacing w:line="400" w:lineRule="exact"/>
        <w:ind w:firstLine="360" w:firstLineChars="150"/>
        <w:rPr>
          <w:rFonts w:ascii="新宋体" w:hAnsi="新宋体" w:eastAsia="新宋体" w:cs="新宋体"/>
          <w:sz w:val="24"/>
          <w:szCs w:val="24"/>
        </w:rPr>
      </w:pPr>
      <w:r>
        <w:rPr>
          <w:rFonts w:hint="eastAsia" w:ascii="新宋体" w:hAnsi="新宋体" w:eastAsia="新宋体" w:cs="新宋体"/>
          <w:sz w:val="24"/>
          <w:szCs w:val="24"/>
        </w:rPr>
        <w:t>（4）工程量结算时按实调整。</w:t>
      </w:r>
    </w:p>
    <w:p w14:paraId="35F6825F">
      <w:pPr>
        <w:adjustRightInd w:val="0"/>
        <w:snapToGrid w:val="0"/>
        <w:spacing w:line="400" w:lineRule="exact"/>
        <w:ind w:firstLine="360" w:firstLineChars="150"/>
        <w:rPr>
          <w:rFonts w:ascii="新宋体" w:hAnsi="新宋体" w:eastAsia="新宋体" w:cs="新宋体"/>
          <w:sz w:val="24"/>
          <w:szCs w:val="24"/>
        </w:rPr>
      </w:pPr>
      <w:r>
        <w:rPr>
          <w:rFonts w:hint="eastAsia" w:ascii="新宋体" w:hAnsi="新宋体" w:eastAsia="新宋体" w:cs="新宋体"/>
          <w:sz w:val="24"/>
          <w:szCs w:val="24"/>
        </w:rPr>
        <w:t>（5）最终工程结算造价以发包人或发包人委托的第三方出具的报告为准。</w:t>
      </w:r>
    </w:p>
    <w:bookmarkEnd w:id="8"/>
    <w:bookmarkEnd w:id="9"/>
    <w:p w14:paraId="4CF43800">
      <w:pPr>
        <w:spacing w:line="400" w:lineRule="exact"/>
        <w:ind w:firstLine="574"/>
        <w:rPr>
          <w:rFonts w:ascii="新宋体" w:hAnsi="新宋体" w:eastAsia="新宋体" w:cs="新宋体"/>
          <w:b/>
          <w:spacing w:val="3"/>
          <w:sz w:val="24"/>
          <w:szCs w:val="24"/>
        </w:rPr>
      </w:pPr>
      <w:r>
        <w:rPr>
          <w:rFonts w:hint="eastAsia" w:ascii="新宋体" w:hAnsi="新宋体" w:eastAsia="新宋体" w:cs="新宋体"/>
          <w:b/>
          <w:spacing w:val="3"/>
          <w:sz w:val="24"/>
          <w:szCs w:val="24"/>
        </w:rPr>
        <w:t>八、工程合同价格、计量与支付</w:t>
      </w:r>
    </w:p>
    <w:p w14:paraId="50152866">
      <w:pPr>
        <w:adjustRightInd w:val="0"/>
        <w:snapToGrid w:val="0"/>
        <w:spacing w:line="400" w:lineRule="exact"/>
        <w:ind w:firstLine="560"/>
        <w:rPr>
          <w:rFonts w:ascii="新宋体" w:hAnsi="新宋体" w:eastAsia="新宋体" w:cs="新宋体"/>
          <w:sz w:val="24"/>
          <w:szCs w:val="24"/>
        </w:rPr>
      </w:pPr>
      <w:bookmarkStart w:id="10" w:name="_Toc292559916"/>
      <w:bookmarkStart w:id="11" w:name="_Toc292559411"/>
      <w:bookmarkStart w:id="12" w:name="_Toc267251461"/>
      <w:bookmarkStart w:id="13" w:name="_Toc296347205"/>
      <w:bookmarkStart w:id="14" w:name="_Toc296891246"/>
      <w:bookmarkStart w:id="15" w:name="_Toc296891034"/>
      <w:bookmarkStart w:id="16" w:name="_Toc297048392"/>
      <w:bookmarkStart w:id="17" w:name="_Toc296503206"/>
      <w:bookmarkStart w:id="18" w:name="_Toc296944545"/>
      <w:bookmarkStart w:id="19" w:name="_Toc297120506"/>
      <w:bookmarkStart w:id="20" w:name="_Toc296346707"/>
      <w:bookmarkStart w:id="21" w:name="_Toc304295580"/>
      <w:bookmarkStart w:id="22" w:name="_Toc297123553"/>
      <w:bookmarkStart w:id="23" w:name="_Toc297216212"/>
      <w:bookmarkStart w:id="24" w:name="_Toc312678041"/>
      <w:bookmarkStart w:id="25" w:name="_Toc303539160"/>
      <w:bookmarkStart w:id="26" w:name="_Toc300935003"/>
      <w:r>
        <w:rPr>
          <w:rFonts w:hint="eastAsia" w:ascii="新宋体" w:hAnsi="新宋体" w:eastAsia="新宋体" w:cs="新宋体"/>
          <w:sz w:val="24"/>
          <w:szCs w:val="24"/>
        </w:rPr>
        <w:t>（1）、合</w:t>
      </w:r>
      <w:bookmarkEnd w:id="10"/>
      <w:bookmarkEnd w:id="11"/>
      <w:bookmarkEnd w:id="12"/>
      <w:r>
        <w:rPr>
          <w:rFonts w:hint="eastAsia" w:ascii="新宋体" w:hAnsi="新宋体" w:eastAsia="新宋体" w:cs="新宋体"/>
          <w:sz w:val="24"/>
          <w:szCs w:val="24"/>
        </w:rPr>
        <w:t>同价</w:t>
      </w:r>
      <w:bookmarkEnd w:id="13"/>
      <w:bookmarkEnd w:id="14"/>
      <w:bookmarkEnd w:id="15"/>
      <w:bookmarkEnd w:id="16"/>
      <w:bookmarkEnd w:id="17"/>
      <w:bookmarkEnd w:id="18"/>
      <w:bookmarkEnd w:id="19"/>
      <w:bookmarkEnd w:id="20"/>
      <w:r>
        <w:rPr>
          <w:rFonts w:hint="eastAsia" w:ascii="新宋体" w:hAnsi="新宋体" w:eastAsia="新宋体" w:cs="新宋体"/>
          <w:sz w:val="24"/>
          <w:szCs w:val="24"/>
        </w:rPr>
        <w:t>格形式</w:t>
      </w:r>
      <w:bookmarkEnd w:id="21"/>
      <w:bookmarkEnd w:id="22"/>
      <w:bookmarkEnd w:id="23"/>
      <w:bookmarkEnd w:id="24"/>
      <w:bookmarkEnd w:id="25"/>
      <w:bookmarkEnd w:id="26"/>
      <w:bookmarkStart w:id="27" w:name="_Toc297123554"/>
      <w:bookmarkStart w:id="28" w:name="_Toc297216213"/>
      <w:bookmarkStart w:id="29" w:name="_Toc304295581"/>
      <w:bookmarkStart w:id="30" w:name="_Toc300935004"/>
      <w:bookmarkStart w:id="31" w:name="_Toc312678042"/>
      <w:bookmarkStart w:id="32" w:name="_Toc303539161"/>
      <w:bookmarkStart w:id="33" w:name="_Toc296346708"/>
      <w:bookmarkStart w:id="34" w:name="_Toc296891247"/>
      <w:bookmarkStart w:id="35" w:name="_Toc297120507"/>
      <w:bookmarkStart w:id="36" w:name="_Toc296503207"/>
      <w:bookmarkStart w:id="37" w:name="_Toc292559412"/>
      <w:bookmarkStart w:id="38" w:name="_Toc296347206"/>
      <w:bookmarkStart w:id="39" w:name="_Toc292559917"/>
      <w:bookmarkStart w:id="40" w:name="_Toc297048393"/>
      <w:bookmarkStart w:id="41" w:name="_Toc296891035"/>
      <w:bookmarkStart w:id="42" w:name="_Toc296944546"/>
    </w:p>
    <w:p w14:paraId="56BBA712">
      <w:pPr>
        <w:tabs>
          <w:tab w:val="left" w:pos="3105"/>
        </w:tabs>
        <w:adjustRightInd w:val="0"/>
        <w:snapToGrid w:val="0"/>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固定单价合同：</w:t>
      </w:r>
      <w:r>
        <w:rPr>
          <w:rFonts w:hint="eastAsia" w:ascii="新宋体" w:hAnsi="新宋体" w:eastAsia="新宋体" w:cs="新宋体"/>
          <w:sz w:val="24"/>
          <w:szCs w:val="24"/>
          <w:u w:val="none"/>
        </w:rPr>
        <w:t>本工程为清单招标，固定单价合同，工程量按实结算，采用增值税一般计税法计价</w:t>
      </w:r>
      <w:r>
        <w:rPr>
          <w:rFonts w:hint="eastAsia" w:ascii="新宋体" w:hAnsi="新宋体" w:eastAsia="新宋体" w:cs="新宋体"/>
          <w:sz w:val="24"/>
          <w:szCs w:val="24"/>
        </w:rPr>
        <w:t>。</w:t>
      </w:r>
    </w:p>
    <w:bookmarkEnd w:id="27"/>
    <w:bookmarkEnd w:id="28"/>
    <w:bookmarkEnd w:id="29"/>
    <w:bookmarkEnd w:id="30"/>
    <w:bookmarkEnd w:id="31"/>
    <w:bookmarkEnd w:id="32"/>
    <w:p w14:paraId="78054B75">
      <w:pPr>
        <w:adjustRightInd w:val="0"/>
        <w:snapToGrid w:val="0"/>
        <w:spacing w:line="400" w:lineRule="exact"/>
        <w:ind w:firstLine="560"/>
        <w:jc w:val="left"/>
        <w:rPr>
          <w:rFonts w:ascii="新宋体" w:hAnsi="新宋体" w:eastAsia="新宋体" w:cs="新宋体"/>
          <w:sz w:val="24"/>
          <w:szCs w:val="24"/>
        </w:rPr>
      </w:pPr>
      <w:r>
        <w:rPr>
          <w:rFonts w:hint="eastAsia" w:ascii="新宋体" w:hAnsi="新宋体" w:eastAsia="新宋体" w:cs="新宋体"/>
          <w:sz w:val="24"/>
          <w:szCs w:val="24"/>
        </w:rPr>
        <w:t>（2）、计量</w:t>
      </w:r>
    </w:p>
    <w:p w14:paraId="7E2CB33F">
      <w:pPr>
        <w:adjustRightInd w:val="0"/>
        <w:snapToGrid w:val="0"/>
        <w:spacing w:line="400" w:lineRule="exact"/>
        <w:ind w:firstLine="560"/>
        <w:jc w:val="left"/>
        <w:rPr>
          <w:rFonts w:ascii="新宋体" w:hAnsi="新宋体" w:eastAsia="新宋体" w:cs="新宋体"/>
          <w:sz w:val="24"/>
          <w:szCs w:val="24"/>
        </w:rPr>
      </w:pPr>
      <w:r>
        <w:rPr>
          <w:rFonts w:hint="eastAsia" w:ascii="新宋体" w:hAnsi="新宋体" w:eastAsia="新宋体" w:cs="新宋体"/>
          <w:sz w:val="24"/>
          <w:szCs w:val="24"/>
        </w:rPr>
        <w:t>①工程量计算规则：</w:t>
      </w:r>
      <w:r>
        <w:rPr>
          <w:rFonts w:hint="eastAsia" w:ascii="新宋体" w:hAnsi="新宋体" w:eastAsia="新宋体" w:cs="新宋体"/>
          <w:sz w:val="24"/>
          <w:szCs w:val="24"/>
          <w:u w:val="none"/>
        </w:rPr>
        <w:t>按现行的工程量计算规则执行</w:t>
      </w:r>
      <w:r>
        <w:rPr>
          <w:rFonts w:hint="eastAsia" w:ascii="新宋体" w:hAnsi="新宋体" w:eastAsia="新宋体" w:cs="新宋体"/>
          <w:sz w:val="24"/>
          <w:szCs w:val="24"/>
        </w:rPr>
        <w:t>。</w:t>
      </w:r>
    </w:p>
    <w:p w14:paraId="13E57FE2">
      <w:pPr>
        <w:adjustRightInd w:val="0"/>
        <w:snapToGrid w:val="0"/>
        <w:spacing w:line="400" w:lineRule="exact"/>
        <w:ind w:firstLine="560"/>
        <w:jc w:val="left"/>
        <w:rPr>
          <w:rFonts w:ascii="新宋体" w:hAnsi="新宋体" w:eastAsia="新宋体" w:cs="新宋体"/>
          <w:sz w:val="24"/>
          <w:szCs w:val="24"/>
        </w:rPr>
      </w:pPr>
      <w:r>
        <w:rPr>
          <w:rFonts w:hint="eastAsia" w:ascii="新宋体" w:hAnsi="新宋体" w:eastAsia="新宋体" w:cs="新宋体"/>
          <w:sz w:val="24"/>
          <w:szCs w:val="24"/>
        </w:rPr>
        <w:t>②计量周期：</w:t>
      </w:r>
      <w:r>
        <w:rPr>
          <w:rFonts w:hint="eastAsia" w:ascii="新宋体" w:hAnsi="新宋体" w:eastAsia="新宋体" w:cs="新宋体"/>
          <w:sz w:val="24"/>
          <w:szCs w:val="24"/>
          <w:u w:val="none"/>
        </w:rPr>
        <w:t>按月</w:t>
      </w:r>
      <w:r>
        <w:rPr>
          <w:rFonts w:hint="eastAsia" w:ascii="新宋体" w:hAnsi="新宋体" w:eastAsia="新宋体" w:cs="新宋体"/>
          <w:sz w:val="24"/>
          <w:szCs w:val="24"/>
        </w:rPr>
        <w:t>。</w:t>
      </w:r>
    </w:p>
    <w:p w14:paraId="6667CEA6">
      <w:pPr>
        <w:adjustRightInd w:val="0"/>
        <w:snapToGrid w:val="0"/>
        <w:spacing w:line="400" w:lineRule="exact"/>
        <w:ind w:firstLine="560"/>
        <w:jc w:val="left"/>
        <w:rPr>
          <w:rFonts w:ascii="新宋体" w:hAnsi="新宋体" w:eastAsia="新宋体" w:cs="新宋体"/>
          <w:sz w:val="24"/>
          <w:szCs w:val="24"/>
        </w:rPr>
      </w:pPr>
      <w:r>
        <w:rPr>
          <w:rFonts w:hint="eastAsia" w:ascii="新宋体" w:hAnsi="新宋体" w:eastAsia="新宋体" w:cs="新宋体"/>
          <w:sz w:val="24"/>
          <w:szCs w:val="24"/>
        </w:rPr>
        <w:t>（3）、工程预付款</w:t>
      </w:r>
    </w:p>
    <w:p w14:paraId="376FB66F">
      <w:pPr>
        <w:adjustRightInd w:val="0"/>
        <w:snapToGrid w:val="0"/>
        <w:spacing w:line="400" w:lineRule="exact"/>
        <w:ind w:firstLine="560"/>
        <w:jc w:val="left"/>
        <w:rPr>
          <w:rFonts w:ascii="新宋体" w:hAnsi="新宋体" w:eastAsia="新宋体" w:cs="新宋体"/>
          <w:sz w:val="24"/>
          <w:szCs w:val="24"/>
        </w:rPr>
      </w:pPr>
      <w:r>
        <w:rPr>
          <w:rFonts w:hint="eastAsia" w:ascii="新宋体" w:hAnsi="新宋体" w:eastAsia="新宋体" w:cs="新宋体"/>
          <w:sz w:val="24"/>
          <w:szCs w:val="24"/>
        </w:rPr>
        <w:t>本工程不支付工程预付款</w:t>
      </w:r>
    </w:p>
    <w:bookmarkEnd w:id="33"/>
    <w:bookmarkEnd w:id="34"/>
    <w:bookmarkEnd w:id="35"/>
    <w:bookmarkEnd w:id="36"/>
    <w:bookmarkEnd w:id="37"/>
    <w:bookmarkEnd w:id="38"/>
    <w:bookmarkEnd w:id="39"/>
    <w:bookmarkEnd w:id="40"/>
    <w:bookmarkEnd w:id="41"/>
    <w:bookmarkEnd w:id="42"/>
    <w:p w14:paraId="53B68B07">
      <w:pPr>
        <w:adjustRightInd w:val="0"/>
        <w:snapToGrid w:val="0"/>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（4）、工程进度款支付</w:t>
      </w:r>
    </w:p>
    <w:p w14:paraId="1D00690E">
      <w:pPr>
        <w:adjustRightInd w:val="0"/>
        <w:snapToGrid w:val="0"/>
        <w:spacing w:line="400" w:lineRule="exact"/>
        <w:ind w:firstLine="560"/>
        <w:jc w:val="left"/>
        <w:rPr>
          <w:rFonts w:ascii="新宋体" w:hAnsi="新宋体" w:eastAsia="新宋体" w:cs="新宋体"/>
          <w:sz w:val="24"/>
          <w:szCs w:val="24"/>
        </w:rPr>
      </w:pPr>
      <w:r>
        <w:rPr>
          <w:rFonts w:hint="eastAsia" w:ascii="新宋体" w:hAnsi="新宋体" w:eastAsia="新宋体" w:cs="新宋体"/>
          <w:sz w:val="24"/>
          <w:szCs w:val="24"/>
        </w:rPr>
        <w:t>关于付款周期的约定：本工程竣工验收合格后且提交完整的竣工资料及工程结算完成后，支付至结算价款的</w:t>
      </w:r>
      <w:r>
        <w:rPr>
          <w:rFonts w:hint="eastAsia" w:ascii="新宋体" w:hAnsi="新宋体" w:eastAsia="新宋体" w:cs="新宋体"/>
          <w:b/>
          <w:sz w:val="24"/>
          <w:szCs w:val="24"/>
        </w:rPr>
        <w:t>98.5%</w:t>
      </w:r>
      <w:r>
        <w:rPr>
          <w:rFonts w:hint="eastAsia" w:ascii="新宋体" w:hAnsi="新宋体" w:eastAsia="新宋体" w:cs="新宋体"/>
          <w:sz w:val="24"/>
          <w:szCs w:val="24"/>
        </w:rPr>
        <w:t>，余款为质量保修金。</w:t>
      </w:r>
    </w:p>
    <w:p w14:paraId="33CB0BF0">
      <w:pPr>
        <w:adjustRightInd w:val="0"/>
        <w:snapToGrid w:val="0"/>
        <w:spacing w:line="400" w:lineRule="exact"/>
        <w:ind w:firstLine="560"/>
        <w:jc w:val="left"/>
        <w:rPr>
          <w:rFonts w:ascii="新宋体" w:hAnsi="新宋体" w:eastAsia="新宋体" w:cs="新宋体"/>
          <w:sz w:val="24"/>
          <w:szCs w:val="24"/>
        </w:rPr>
      </w:pPr>
      <w:r>
        <w:rPr>
          <w:rFonts w:hint="eastAsia" w:ascii="新宋体" w:hAnsi="新宋体" w:eastAsia="新宋体" w:cs="新宋体"/>
          <w:sz w:val="24"/>
          <w:szCs w:val="24"/>
        </w:rPr>
        <w:t>上述费用支付前，承包人应当开具结算全部金额的增值税专用发票给发包人。承包人逾期或不能开具的，视为付款条件未成就，发包人有权拒绝支付且不承担任何责任。</w:t>
      </w:r>
    </w:p>
    <w:p w14:paraId="0F95C577">
      <w:pPr>
        <w:snapToGrid w:val="0"/>
        <w:spacing w:line="400" w:lineRule="exact"/>
        <w:ind w:firstLine="537" w:firstLineChars="224"/>
        <w:rPr>
          <w:rFonts w:ascii="新宋体" w:hAnsi="新宋体" w:eastAsia="新宋体" w:cs="新宋体"/>
          <w:sz w:val="24"/>
          <w:szCs w:val="24"/>
        </w:rPr>
      </w:pPr>
      <w:r>
        <w:rPr>
          <w:rFonts w:hint="eastAsia" w:ascii="新宋体" w:hAnsi="新宋体" w:eastAsia="新宋体" w:cs="新宋体"/>
          <w:sz w:val="24"/>
          <w:szCs w:val="24"/>
        </w:rPr>
        <w:t>缺陷责任期为两年，缺陷责任期结束时，经接管使用单位和发包人确认工程无质量问题并未发生其他损失后，由发包人将质保金无息支付给承包人。</w:t>
      </w:r>
    </w:p>
    <w:p w14:paraId="7FC52072">
      <w:pPr>
        <w:spacing w:line="400" w:lineRule="exact"/>
        <w:ind w:firstLine="619" w:firstLineChars="257"/>
        <w:rPr>
          <w:rFonts w:ascii="新宋体" w:hAnsi="新宋体" w:eastAsia="新宋体" w:cs="新宋体"/>
          <w:b/>
          <w:sz w:val="24"/>
          <w:szCs w:val="24"/>
        </w:rPr>
      </w:pPr>
      <w:r>
        <w:rPr>
          <w:rFonts w:hint="eastAsia" w:ascii="新宋体" w:hAnsi="新宋体" w:eastAsia="新宋体" w:cs="新宋体"/>
          <w:b/>
          <w:sz w:val="24"/>
          <w:szCs w:val="24"/>
        </w:rPr>
        <w:t>九、工程验收：</w:t>
      </w:r>
    </w:p>
    <w:p w14:paraId="487ABAC9">
      <w:pPr>
        <w:adjustRightInd w:val="0"/>
        <w:snapToGrid w:val="0"/>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本工程验收达到约定条件后，承包方应在30 日内递交竣工结算报告及完整的结算资料。超过期限，承包方未能向发包方递交竣工结算报告及完整的结算资料，造成工程竣工结算不能正常进行，则由发包方按咨询付费标准委托咨询单位编制的结算为依据，或以工程中标价报审，承包方不得提出异议，咨询付费由发包方从承包方工程款中扣除。</w:t>
      </w:r>
    </w:p>
    <w:p w14:paraId="275C9726">
      <w:pPr>
        <w:spacing w:line="400" w:lineRule="exact"/>
        <w:ind w:firstLine="619" w:firstLineChars="257"/>
        <w:rPr>
          <w:rFonts w:ascii="新宋体" w:hAnsi="新宋体" w:eastAsia="新宋体" w:cs="新宋体"/>
          <w:b/>
          <w:sz w:val="24"/>
          <w:szCs w:val="24"/>
        </w:rPr>
      </w:pPr>
      <w:bookmarkStart w:id="43" w:name="_Toc364002727"/>
      <w:bookmarkStart w:id="44" w:name="_Toc466362281"/>
      <w:r>
        <w:rPr>
          <w:rFonts w:hint="eastAsia" w:ascii="新宋体" w:hAnsi="新宋体" w:eastAsia="新宋体" w:cs="新宋体"/>
          <w:b/>
          <w:sz w:val="24"/>
          <w:szCs w:val="24"/>
        </w:rPr>
        <w:t>十、 工程竣工结算</w:t>
      </w:r>
      <w:bookmarkEnd w:id="43"/>
      <w:bookmarkEnd w:id="44"/>
    </w:p>
    <w:p w14:paraId="261F5663">
      <w:pPr>
        <w:adjustRightInd w:val="0"/>
        <w:snapToGrid w:val="0"/>
        <w:spacing w:line="400" w:lineRule="exact"/>
        <w:ind w:firstLine="560"/>
        <w:jc w:val="left"/>
        <w:rPr>
          <w:rFonts w:ascii="新宋体" w:hAnsi="新宋体" w:eastAsia="新宋体" w:cs="新宋体"/>
          <w:sz w:val="24"/>
          <w:szCs w:val="24"/>
        </w:rPr>
      </w:pPr>
      <w:r>
        <w:rPr>
          <w:rFonts w:hint="eastAsia" w:ascii="新宋体" w:hAnsi="新宋体" w:eastAsia="新宋体" w:cs="新宋体"/>
          <w:sz w:val="24"/>
          <w:szCs w:val="24"/>
        </w:rPr>
        <w:t>（1）竣工结算审核</w:t>
      </w:r>
    </w:p>
    <w:p w14:paraId="1B41D5AE">
      <w:pPr>
        <w:adjustRightInd w:val="0"/>
        <w:snapToGrid w:val="0"/>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承包人自行对其提交的竣工结算申请单和结算资料的准确性和完整性负责。承包人在向发包人和监理人提交工程竣工结算申请单和结算资料后 7 天内可以再次补充或调整结算资料，逾期发包人不再接受承包人主动补充或调整的结算资料。发包人在竣工结算审核时不对承包人少算、漏算内容负责，也不会向承包人指出少算、漏算内容。</w:t>
      </w:r>
    </w:p>
    <w:p w14:paraId="47AF3327">
      <w:pPr>
        <w:adjustRightInd w:val="0"/>
        <w:snapToGrid w:val="0"/>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发包人对承包人提交的竣工结算申请单进行审核，发包人也可以委托（或指定）第三方进行审核，第三方的审核意见交发包人后，由发包人书面告知承包人，即代表发包人意见。</w:t>
      </w:r>
    </w:p>
    <w:p w14:paraId="274A28D3">
      <w:pPr>
        <w:adjustRightInd w:val="0"/>
        <w:snapToGrid w:val="0"/>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设计变更、发包人及监理签证部分工程结算，承包人按照本专用条款的规定编制，承包人编制的工程结算经审核后，方可办理工程结算，工程结算最终以发包人或发包人委托的第三方审定结果为准。</w:t>
      </w:r>
    </w:p>
    <w:p w14:paraId="630CEF55">
      <w:pPr>
        <w:adjustRightInd w:val="0"/>
        <w:snapToGrid w:val="0"/>
        <w:spacing w:line="400" w:lineRule="exact"/>
        <w:ind w:firstLine="560"/>
        <w:jc w:val="left"/>
        <w:rPr>
          <w:rFonts w:ascii="新宋体" w:hAnsi="新宋体" w:eastAsia="新宋体" w:cs="新宋体"/>
          <w:sz w:val="24"/>
          <w:szCs w:val="24"/>
        </w:rPr>
      </w:pPr>
      <w:r>
        <w:rPr>
          <w:rFonts w:hint="eastAsia" w:ascii="新宋体" w:hAnsi="新宋体" w:eastAsia="新宋体" w:cs="新宋体"/>
          <w:sz w:val="24"/>
          <w:szCs w:val="24"/>
        </w:rPr>
        <w:t>监理人或发包人对竣工结算申请单和结算资料有异议的（主要指多算内容），有权要求承包人进行修正和提供补充资料，承包人应在监理人或发包人的书面异议告知书送达之日起 28 天内提交补充资料。承包人提交的补充资料应限定在监理人或发包人的书面异议告知书明确要求提交的范围之内，如超出范围，超出部分发包人可不予以接受。</w:t>
      </w:r>
    </w:p>
    <w:p w14:paraId="02467111">
      <w:pPr>
        <w:adjustRightInd w:val="0"/>
        <w:snapToGrid w:val="0"/>
        <w:spacing w:line="400" w:lineRule="exact"/>
        <w:ind w:firstLine="560"/>
        <w:jc w:val="left"/>
        <w:rPr>
          <w:rFonts w:ascii="新宋体" w:hAnsi="新宋体" w:eastAsia="新宋体" w:cs="新宋体"/>
          <w:sz w:val="24"/>
          <w:szCs w:val="24"/>
        </w:rPr>
      </w:pPr>
      <w:r>
        <w:rPr>
          <w:rFonts w:hint="eastAsia" w:ascii="新宋体" w:hAnsi="新宋体" w:eastAsia="新宋体" w:cs="新宋体"/>
          <w:sz w:val="24"/>
          <w:szCs w:val="24"/>
        </w:rPr>
        <w:t>发包人对承包人提交的竣工结算申请单有疑问的，可以要求承包人进行澄清说明，承包人应在发包人书面通知送达后 7 天之内，派出造价人员向发包人指定（或委托）的结算审核人员进行澄清说明，发包人对澄清说明活动进行详细记录。发包人不接受承包人主动提出的澄清说明。承包人逾期响应发包人澄清说明要求的，由发包人（或发包人委托或指定的单位）直接按不利于承包人的方式确定，承包人对此无异议。承包人的澄清说明不得超出结算资料的范围或改变结算资料的实质性内容，否则发包人不予采纳。</w:t>
      </w:r>
    </w:p>
    <w:p w14:paraId="636C3CD7">
      <w:pPr>
        <w:tabs>
          <w:tab w:val="left" w:pos="5954"/>
        </w:tabs>
        <w:adjustRightInd w:val="0"/>
        <w:snapToGrid w:val="0"/>
        <w:spacing w:line="400" w:lineRule="exact"/>
        <w:ind w:firstLine="560"/>
        <w:jc w:val="left"/>
        <w:rPr>
          <w:rFonts w:ascii="新宋体" w:hAnsi="新宋体" w:eastAsia="新宋体" w:cs="新宋体"/>
          <w:sz w:val="24"/>
          <w:szCs w:val="24"/>
        </w:rPr>
      </w:pPr>
      <w:r>
        <w:rPr>
          <w:rFonts w:hint="eastAsia" w:ascii="新宋体" w:hAnsi="新宋体" w:eastAsia="新宋体" w:cs="新宋体"/>
          <w:sz w:val="24"/>
          <w:szCs w:val="24"/>
        </w:rPr>
        <w:t>承包人必须合理准确编制并向发包人上报工程结算，双方约定：承包人上报结算经审核，核减按核减额超过送审造价的5%以外部分为基数计取5％的违约金，核增按核增额超过送审造价的5%以外部分为基数计取5％的违约金，核增额与核减额不作抵扣，核减、核增的违约金均由承包人支付，即审核违约金＝核减额超过送审造价的5%以外部分×5%+核增额超过送审造价的5%以外部分×5%，在结清工程款时，发包人将按上述标准在工程结算款中扣除该项审核违约金。</w:t>
      </w:r>
    </w:p>
    <w:p w14:paraId="4A66EFA1">
      <w:pPr>
        <w:tabs>
          <w:tab w:val="left" w:pos="5954"/>
        </w:tabs>
        <w:adjustRightInd w:val="0"/>
        <w:snapToGrid w:val="0"/>
        <w:spacing w:line="400" w:lineRule="exact"/>
        <w:ind w:firstLine="560"/>
        <w:jc w:val="left"/>
        <w:rPr>
          <w:rFonts w:ascii="新宋体" w:hAnsi="新宋体" w:eastAsia="新宋体" w:cs="新宋体"/>
          <w:sz w:val="24"/>
          <w:szCs w:val="24"/>
        </w:rPr>
      </w:pPr>
      <w:r>
        <w:rPr>
          <w:rFonts w:hint="eastAsia" w:ascii="新宋体" w:hAnsi="新宋体" w:eastAsia="新宋体" w:cs="新宋体"/>
          <w:sz w:val="24"/>
          <w:szCs w:val="24"/>
        </w:rPr>
        <w:t>承包人应遵循实事求是的原则编制工程造价，对于工程审核追加费用支付的约定：承包人上报结算须经审核，核减追加费按核减额超过送审造价的5%以外部分为基数计取 5％的费用，核增追加费按核增额超过送审造价的5%以外部分为基数计取 5％的费用，核增额与核减额不作抵扣，核减、核增追加费均由承包人承担，即审核追加费用＝核减额超过送审造价的5%以外部分×5%+核增额超过送审造价的5%以外部分×5%，在结清工程款之前由承包人支付。如承包人未予以支付，发包人将按上述标准在工程结算款中代为扣除用作支付审核追加费用。</w:t>
      </w:r>
    </w:p>
    <w:p w14:paraId="6A03D711">
      <w:pPr>
        <w:adjustRightInd w:val="0"/>
        <w:snapToGrid w:val="0"/>
        <w:spacing w:line="400" w:lineRule="exact"/>
        <w:ind w:firstLine="736" w:firstLineChars="298"/>
        <w:jc w:val="left"/>
        <w:rPr>
          <w:rFonts w:ascii="新宋体" w:hAnsi="新宋体" w:eastAsia="新宋体" w:cs="新宋体"/>
          <w:b/>
          <w:spacing w:val="3"/>
          <w:sz w:val="24"/>
          <w:szCs w:val="24"/>
        </w:rPr>
      </w:pPr>
      <w:r>
        <w:rPr>
          <w:rFonts w:hint="eastAsia" w:ascii="新宋体" w:hAnsi="新宋体" w:eastAsia="新宋体" w:cs="新宋体"/>
          <w:b/>
          <w:spacing w:val="3"/>
          <w:sz w:val="24"/>
          <w:szCs w:val="24"/>
        </w:rPr>
        <w:t>十一、 保修</w:t>
      </w:r>
    </w:p>
    <w:p w14:paraId="305E9060">
      <w:pPr>
        <w:spacing w:line="400" w:lineRule="exact"/>
        <w:ind w:firstLine="572"/>
        <w:rPr>
          <w:rFonts w:ascii="新宋体" w:hAnsi="新宋体" w:eastAsia="新宋体" w:cs="新宋体"/>
          <w:spacing w:val="3"/>
          <w:sz w:val="24"/>
          <w:szCs w:val="24"/>
        </w:rPr>
      </w:pPr>
      <w:r>
        <w:rPr>
          <w:rFonts w:hint="eastAsia" w:ascii="新宋体" w:hAnsi="新宋体" w:eastAsia="新宋体" w:cs="新宋体"/>
          <w:spacing w:val="3"/>
          <w:sz w:val="24"/>
          <w:szCs w:val="24"/>
        </w:rPr>
        <w:t xml:space="preserve">承包方应按法律、行政法规或国家关于工程质量保修的在关规定，对交付发包方使用的工程在质量保修期内承担质量保修责任。 </w:t>
      </w:r>
    </w:p>
    <w:p w14:paraId="36D58D9D">
      <w:pPr>
        <w:spacing w:line="400" w:lineRule="exact"/>
        <w:ind w:firstLine="572"/>
        <w:rPr>
          <w:rFonts w:ascii="新宋体" w:hAnsi="新宋体" w:eastAsia="新宋体" w:cs="新宋体"/>
          <w:spacing w:val="3"/>
          <w:sz w:val="24"/>
          <w:szCs w:val="24"/>
        </w:rPr>
      </w:pPr>
      <w:r>
        <w:rPr>
          <w:rFonts w:hint="eastAsia" w:ascii="新宋体" w:hAnsi="新宋体" w:eastAsia="新宋体" w:cs="新宋体"/>
          <w:spacing w:val="3"/>
          <w:sz w:val="24"/>
          <w:szCs w:val="24"/>
        </w:rPr>
        <w:t>质量保修范围包括施工图范围内的所有工程，以及双方约定的其他项目。</w:t>
      </w:r>
    </w:p>
    <w:p w14:paraId="39A6989A">
      <w:pPr>
        <w:spacing w:line="400" w:lineRule="exact"/>
        <w:ind w:firstLine="572"/>
        <w:rPr>
          <w:rFonts w:ascii="新宋体" w:hAnsi="新宋体" w:eastAsia="新宋体" w:cs="新宋体"/>
          <w:spacing w:val="3"/>
          <w:sz w:val="24"/>
          <w:szCs w:val="24"/>
        </w:rPr>
      </w:pPr>
      <w:r>
        <w:rPr>
          <w:rFonts w:hint="eastAsia" w:ascii="新宋体" w:hAnsi="新宋体" w:eastAsia="新宋体" w:cs="新宋体"/>
          <w:spacing w:val="3"/>
          <w:sz w:val="24"/>
          <w:szCs w:val="24"/>
        </w:rPr>
        <w:t>双方根据《建设工程质量管理条例》及有关规定，约定本工程的质量保修期：</w:t>
      </w:r>
    </w:p>
    <w:p w14:paraId="47391A3F">
      <w:pPr>
        <w:spacing w:line="400" w:lineRule="exact"/>
        <w:ind w:firstLine="572"/>
        <w:rPr>
          <w:rFonts w:ascii="新宋体" w:hAnsi="新宋体" w:eastAsia="新宋体" w:cs="新宋体"/>
          <w:spacing w:val="3"/>
          <w:sz w:val="24"/>
          <w:szCs w:val="24"/>
        </w:rPr>
      </w:pPr>
      <w:r>
        <w:rPr>
          <w:rFonts w:hint="eastAsia" w:ascii="新宋体" w:hAnsi="新宋体" w:eastAsia="新宋体" w:cs="新宋体"/>
          <w:spacing w:val="3"/>
          <w:sz w:val="24"/>
          <w:szCs w:val="24"/>
        </w:rPr>
        <w:t>保修期从发包方批准的竣工之日起计算，时间为</w:t>
      </w:r>
      <w:r>
        <w:rPr>
          <w:rFonts w:hint="eastAsia" w:ascii="新宋体" w:hAnsi="新宋体" w:eastAsia="新宋体" w:cs="新宋体"/>
          <w:b/>
          <w:spacing w:val="3"/>
          <w:sz w:val="24"/>
          <w:szCs w:val="24"/>
          <w:u w:val="none"/>
        </w:rPr>
        <w:t>贰</w:t>
      </w:r>
      <w:r>
        <w:rPr>
          <w:rFonts w:hint="eastAsia" w:ascii="新宋体" w:hAnsi="新宋体" w:eastAsia="新宋体" w:cs="新宋体"/>
          <w:spacing w:val="3"/>
          <w:sz w:val="24"/>
          <w:szCs w:val="24"/>
        </w:rPr>
        <w:t>年。</w:t>
      </w:r>
    </w:p>
    <w:p w14:paraId="74B0B59B">
      <w:pPr>
        <w:spacing w:line="400" w:lineRule="exact"/>
        <w:ind w:firstLine="572"/>
        <w:rPr>
          <w:rFonts w:ascii="新宋体" w:hAnsi="新宋体" w:eastAsia="新宋体" w:cs="新宋体"/>
          <w:spacing w:val="3"/>
          <w:sz w:val="24"/>
          <w:szCs w:val="24"/>
        </w:rPr>
      </w:pPr>
      <w:r>
        <w:rPr>
          <w:rFonts w:hint="eastAsia" w:ascii="新宋体" w:hAnsi="新宋体" w:eastAsia="新宋体" w:cs="新宋体"/>
          <w:spacing w:val="3"/>
          <w:sz w:val="24"/>
          <w:szCs w:val="24"/>
        </w:rPr>
        <w:t>属于保修范围、内容的项目，承包人应当在接到保修通知之日起3天内派人保修。承包人不在约定期限内派人保修的，发包人可以委托他人修理。发生紧急抢修事故的，承包人在接到事故通知后，应当立即到达事故现场抢修。质量保修完成后，由发包人组织验收。如非承包方质量引起的事故，修理费用由发包方承担，否则费用由承包方负担。如承包人接到发包人通知后不进行维修，发包人有权扣除相应的保修金代为修理。本工程保质量保修金为工程结算总造价</w:t>
      </w:r>
      <w:r>
        <w:rPr>
          <w:rFonts w:hint="eastAsia" w:ascii="新宋体" w:hAnsi="新宋体" w:eastAsia="新宋体" w:cs="新宋体"/>
          <w:spacing w:val="3"/>
          <w:sz w:val="24"/>
          <w:szCs w:val="24"/>
          <w:u w:val="none"/>
        </w:rPr>
        <w:t>的</w:t>
      </w:r>
      <w:r>
        <w:rPr>
          <w:rFonts w:hint="eastAsia" w:ascii="新宋体" w:hAnsi="新宋体" w:eastAsia="新宋体" w:cs="新宋体"/>
          <w:b/>
          <w:spacing w:val="3"/>
          <w:sz w:val="24"/>
          <w:szCs w:val="24"/>
          <w:u w:val="none"/>
          <w:lang w:val="en-US" w:eastAsia="zh-CN"/>
        </w:rPr>
        <w:t>1.5%</w:t>
      </w:r>
      <w:r>
        <w:rPr>
          <w:rFonts w:hint="eastAsia" w:ascii="新宋体" w:hAnsi="新宋体" w:eastAsia="新宋体" w:cs="新宋体"/>
          <w:spacing w:val="3"/>
          <w:sz w:val="24"/>
          <w:szCs w:val="24"/>
        </w:rPr>
        <w:t>在工程竣工结算时一次性扣留质量保证金，保修期满后扣留质量保证金（如有）无息支付。</w:t>
      </w:r>
    </w:p>
    <w:p w14:paraId="3A33E987">
      <w:pPr>
        <w:spacing w:line="400" w:lineRule="exact"/>
        <w:ind w:firstLine="572"/>
        <w:rPr>
          <w:rFonts w:ascii="新宋体" w:hAnsi="新宋体" w:eastAsia="新宋体" w:cs="新宋体"/>
          <w:spacing w:val="3"/>
          <w:sz w:val="24"/>
          <w:szCs w:val="24"/>
        </w:rPr>
      </w:pPr>
      <w:r>
        <w:rPr>
          <w:rFonts w:hint="eastAsia" w:ascii="新宋体" w:hAnsi="新宋体" w:eastAsia="新宋体" w:cs="新宋体"/>
          <w:spacing w:val="3"/>
          <w:sz w:val="24"/>
          <w:szCs w:val="24"/>
        </w:rPr>
        <w:t>十二、违约责任</w:t>
      </w:r>
    </w:p>
    <w:p w14:paraId="7492C15F">
      <w:pPr>
        <w:spacing w:line="400" w:lineRule="exact"/>
        <w:rPr>
          <w:rFonts w:ascii="新宋体" w:hAnsi="新宋体" w:eastAsia="新宋体" w:cs="新宋体"/>
          <w:spacing w:val="3"/>
          <w:sz w:val="24"/>
          <w:szCs w:val="24"/>
        </w:rPr>
      </w:pPr>
      <w:r>
        <w:rPr>
          <w:rFonts w:hint="eastAsia" w:ascii="新宋体" w:hAnsi="新宋体" w:eastAsia="新宋体" w:cs="新宋体"/>
          <w:spacing w:val="3"/>
          <w:sz w:val="24"/>
          <w:szCs w:val="24"/>
        </w:rPr>
        <w:t xml:space="preserve">    违约责任以本项目招标文件投标人须知前附表二为准。</w:t>
      </w:r>
    </w:p>
    <w:p w14:paraId="3D1157D7">
      <w:pPr>
        <w:spacing w:line="400" w:lineRule="exact"/>
        <w:ind w:firstLine="723" w:firstLineChars="300"/>
        <w:rPr>
          <w:rFonts w:ascii="新宋体" w:hAnsi="新宋体" w:eastAsia="新宋体" w:cs="新宋体"/>
          <w:b/>
          <w:sz w:val="24"/>
          <w:szCs w:val="24"/>
        </w:rPr>
      </w:pPr>
      <w:r>
        <w:rPr>
          <w:rFonts w:hint="eastAsia" w:ascii="新宋体" w:hAnsi="新宋体" w:eastAsia="新宋体" w:cs="新宋体"/>
          <w:b/>
          <w:sz w:val="24"/>
          <w:szCs w:val="24"/>
        </w:rPr>
        <w:t>十三、协议有效期：</w:t>
      </w:r>
    </w:p>
    <w:p w14:paraId="5D63B689">
      <w:pPr>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本协议经双方加盖公章确认后生效，待甲方工程款全部支付完成后自动失效。</w:t>
      </w:r>
    </w:p>
    <w:p w14:paraId="555E8108">
      <w:pPr>
        <w:spacing w:line="400" w:lineRule="exact"/>
        <w:ind w:left="438" w:leftChars="219" w:firstLine="236" w:firstLineChars="98"/>
        <w:rPr>
          <w:rFonts w:ascii="新宋体" w:hAnsi="新宋体" w:eastAsia="新宋体" w:cs="新宋体"/>
          <w:b/>
          <w:sz w:val="24"/>
          <w:szCs w:val="24"/>
        </w:rPr>
      </w:pPr>
      <w:r>
        <w:rPr>
          <w:rFonts w:hint="eastAsia" w:ascii="新宋体" w:hAnsi="新宋体" w:eastAsia="新宋体" w:cs="新宋体"/>
          <w:b/>
          <w:sz w:val="24"/>
          <w:szCs w:val="24"/>
        </w:rPr>
        <w:t>十四、补充说明：</w:t>
      </w:r>
    </w:p>
    <w:p w14:paraId="2588F2E3">
      <w:pPr>
        <w:spacing w:line="400" w:lineRule="exact"/>
        <w:ind w:firstLine="723" w:firstLineChars="300"/>
        <w:rPr>
          <w:rFonts w:ascii="新宋体" w:hAnsi="新宋体" w:eastAsia="新宋体" w:cs="新宋体"/>
          <w:b/>
          <w:sz w:val="24"/>
          <w:szCs w:val="24"/>
        </w:rPr>
      </w:pPr>
      <w:r>
        <w:rPr>
          <w:rFonts w:hint="eastAsia" w:ascii="新宋体" w:hAnsi="新宋体" w:eastAsia="新宋体" w:cs="新宋体"/>
          <w:b/>
          <w:sz w:val="24"/>
          <w:szCs w:val="24"/>
        </w:rPr>
        <w:t>1.乙方在中标公示完成后即应进行材料</w:t>
      </w:r>
      <w:bookmarkStart w:id="45" w:name="_GoBack"/>
      <w:bookmarkEnd w:id="45"/>
      <w:r>
        <w:rPr>
          <w:rFonts w:hint="eastAsia" w:ascii="新宋体" w:hAnsi="新宋体" w:eastAsia="新宋体" w:cs="新宋体"/>
          <w:b/>
          <w:sz w:val="24"/>
          <w:szCs w:val="24"/>
        </w:rPr>
        <w:t>准备和进场准备工作，乙方施工进度不应影响甲方项目整体工程验收的进度要求；人防、消防验收和室内划线部分施工应在中标公示后20天内完成；</w:t>
      </w:r>
    </w:p>
    <w:p w14:paraId="11DAC649">
      <w:pPr>
        <w:spacing w:line="400" w:lineRule="exact"/>
        <w:ind w:firstLine="723" w:firstLineChars="300"/>
        <w:rPr>
          <w:rFonts w:ascii="新宋体" w:hAnsi="新宋体" w:eastAsia="新宋体" w:cs="新宋体"/>
          <w:b/>
          <w:sz w:val="24"/>
          <w:szCs w:val="24"/>
        </w:rPr>
      </w:pPr>
      <w:r>
        <w:rPr>
          <w:rFonts w:hint="eastAsia" w:ascii="新宋体" w:hAnsi="新宋体" w:eastAsia="新宋体" w:cs="新宋体"/>
          <w:b/>
          <w:sz w:val="24"/>
          <w:szCs w:val="24"/>
        </w:rPr>
        <w:t>2.乙方在进场材料、人员、设备等应做好向监理报验的工作，未经监理认可材料不得使用；减速带、停车位定位器等材料应先向甲方和监理提交样品，经认可后才能进场；</w:t>
      </w:r>
    </w:p>
    <w:p w14:paraId="10F58D81">
      <w:pPr>
        <w:spacing w:line="400" w:lineRule="exact"/>
        <w:ind w:firstLine="723" w:firstLineChars="300"/>
        <w:rPr>
          <w:rFonts w:ascii="新宋体" w:hAnsi="新宋体" w:eastAsia="新宋体" w:cs="新宋体"/>
          <w:b/>
          <w:sz w:val="24"/>
          <w:szCs w:val="24"/>
        </w:rPr>
      </w:pPr>
      <w:r>
        <w:rPr>
          <w:rFonts w:hint="eastAsia" w:ascii="新宋体" w:hAnsi="新宋体" w:eastAsia="新宋体" w:cs="新宋体"/>
          <w:b/>
          <w:sz w:val="24"/>
          <w:szCs w:val="24"/>
        </w:rPr>
        <w:t>3.乙方在各项施工过程中应做好各道工序向监理报验的工作，隐蔽工程必须验收合格后才能进行下道工序施工；</w:t>
      </w:r>
    </w:p>
    <w:p w14:paraId="37423D12">
      <w:pPr>
        <w:spacing w:line="400" w:lineRule="exact"/>
        <w:ind w:firstLine="723" w:firstLineChars="300"/>
        <w:rPr>
          <w:rFonts w:ascii="新宋体" w:hAnsi="新宋体" w:eastAsia="新宋体" w:cs="新宋体"/>
          <w:b/>
          <w:sz w:val="24"/>
          <w:szCs w:val="24"/>
        </w:rPr>
      </w:pPr>
      <w:r>
        <w:rPr>
          <w:rFonts w:hint="eastAsia" w:ascii="新宋体" w:hAnsi="新宋体" w:eastAsia="新宋体" w:cs="新宋体"/>
          <w:b/>
          <w:sz w:val="24"/>
          <w:szCs w:val="24"/>
        </w:rPr>
        <w:t>4.乙方进场施工应服从工程总承包单位的统一管理，需要总包提供水电等配合的与总包做好协商工作，做好安全文明施工，对其施工安全工作全责；施工过程中不得破坏成品，对他人成品造成损坏的应照价赔偿</w:t>
      </w:r>
      <w:r>
        <w:rPr>
          <w:rFonts w:ascii="新宋体" w:hAnsi="新宋体" w:eastAsia="新宋体" w:cs="新宋体"/>
          <w:b/>
          <w:sz w:val="24"/>
          <w:szCs w:val="24"/>
        </w:rPr>
        <w:t xml:space="preserve"> </w:t>
      </w:r>
      <w:r>
        <w:rPr>
          <w:rFonts w:hint="eastAsia" w:ascii="新宋体" w:hAnsi="新宋体" w:eastAsia="新宋体" w:cs="新宋体"/>
          <w:b/>
          <w:sz w:val="24"/>
          <w:szCs w:val="24"/>
        </w:rPr>
        <w:t>。</w:t>
      </w:r>
    </w:p>
    <w:p w14:paraId="032D9FA7">
      <w:pPr>
        <w:spacing w:line="400" w:lineRule="exact"/>
        <w:ind w:firstLine="723" w:firstLineChars="300"/>
        <w:rPr>
          <w:rFonts w:ascii="新宋体" w:hAnsi="新宋体" w:eastAsia="新宋体" w:cs="新宋体"/>
          <w:b/>
          <w:sz w:val="24"/>
          <w:szCs w:val="24"/>
        </w:rPr>
      </w:pPr>
    </w:p>
    <w:p w14:paraId="0852816B">
      <w:pPr>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未尽事宜，甲、乙双方协商解决，并作出书面补充协议，补充协议与本协议具有同等效力。本协议壹式肆份，甲、乙双方各执贰份；经甲、乙双方法定代表人或授权委托人签字盖章后生效。</w:t>
      </w:r>
    </w:p>
    <w:p w14:paraId="603B9EBE">
      <w:pPr>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甲方：（公章）                       乙方：（公章）</w:t>
      </w:r>
    </w:p>
    <w:p w14:paraId="6A45CAAF">
      <w:pPr>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法定代表人或委托人：                法定代表人或委托人：</w:t>
      </w:r>
    </w:p>
    <w:p w14:paraId="127D8D2B">
      <w:pPr>
        <w:spacing w:line="400" w:lineRule="exact"/>
        <w:ind w:firstLine="560"/>
        <w:rPr>
          <w:rFonts w:ascii="新宋体" w:hAnsi="新宋体" w:eastAsia="新宋体" w:cs="新宋体"/>
          <w:sz w:val="24"/>
          <w:szCs w:val="24"/>
        </w:rPr>
      </w:pPr>
    </w:p>
    <w:p w14:paraId="759D6C2E">
      <w:pPr>
        <w:spacing w:line="400" w:lineRule="exact"/>
        <w:ind w:firstLine="560"/>
        <w:rPr>
          <w:rFonts w:ascii="新宋体" w:hAnsi="新宋体" w:eastAsia="新宋体" w:cs="新宋体"/>
          <w:sz w:val="24"/>
          <w:szCs w:val="24"/>
        </w:rPr>
      </w:pPr>
      <w:r>
        <w:rPr>
          <w:rFonts w:hint="eastAsia" w:ascii="新宋体" w:hAnsi="新宋体" w:eastAsia="新宋体" w:cs="新宋体"/>
          <w:sz w:val="24"/>
          <w:szCs w:val="24"/>
        </w:rPr>
        <w:t>日期：    年    月   日             日期：    年    月   日</w:t>
      </w:r>
    </w:p>
    <w:p w14:paraId="334C1E71"/>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3C390B"/>
    <w:multiLevelType w:val="multilevel"/>
    <w:tmpl w:val="633C390B"/>
    <w:lvl w:ilvl="0" w:tentative="0">
      <w:start w:val="1"/>
      <w:numFmt w:val="japaneseCounting"/>
      <w:lvlText w:val="%1、"/>
      <w:lvlJc w:val="left"/>
      <w:pPr>
        <w:ind w:left="1146" w:hanging="720"/>
      </w:pPr>
      <w:rPr>
        <w:rFonts w:hint="default"/>
        <w:lang w:val="en-US"/>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FjMTgxNDViYTVjNzk4MDNjZDlhZTYyNjk1MmZiOTIifQ=="/>
  </w:docVars>
  <w:rsids>
    <w:rsidRoot w:val="74746797"/>
    <w:rsid w:val="00887D38"/>
    <w:rsid w:val="00C73547"/>
    <w:rsid w:val="2C251E37"/>
    <w:rsid w:val="4C523F4B"/>
    <w:rsid w:val="55AE1E12"/>
    <w:rsid w:val="70E011BB"/>
    <w:rsid w:val="74746797"/>
    <w:rsid w:val="7EEF1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lang w:val="en-US" w:eastAsia="zh-CN" w:bidi="ar-SA"/>
    </w:rPr>
  </w:style>
  <w:style w:type="paragraph" w:styleId="2">
    <w:name w:val="heading 1"/>
    <w:basedOn w:val="1"/>
    <w:next w:val="1"/>
    <w:qFormat/>
    <w:uiPriority w:val="0"/>
    <w:pPr>
      <w:keepNext/>
      <w:keepLines/>
      <w:spacing w:before="340" w:after="330"/>
      <w:jc w:val="center"/>
      <w:outlineLvl w:val="0"/>
    </w:pPr>
    <w:rPr>
      <w:b/>
      <w:bCs/>
      <w:kern w:val="44"/>
      <w:sz w:val="28"/>
      <w:szCs w:val="44"/>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after="120"/>
    </w:pPr>
    <w:rPr>
      <w:kern w:val="2"/>
      <w:sz w:val="21"/>
      <w:szCs w:val="24"/>
    </w:rPr>
  </w:style>
  <w:style w:type="paragraph" w:styleId="4">
    <w:name w:val="footer"/>
    <w:basedOn w:val="1"/>
    <w:link w:val="9"/>
    <w:uiPriority w:val="0"/>
    <w:pPr>
      <w:tabs>
        <w:tab w:val="center" w:pos="4153"/>
        <w:tab w:val="right" w:pos="8306"/>
      </w:tabs>
      <w:snapToGrid w:val="0"/>
      <w:jc w:val="left"/>
    </w:pPr>
    <w:rPr>
      <w:sz w:val="18"/>
      <w:szCs w:val="18"/>
    </w:rPr>
  </w:style>
  <w:style w:type="paragraph" w:styleId="5">
    <w:name w:val="header"/>
    <w:basedOn w:val="1"/>
    <w:link w:val="8"/>
    <w:qFormat/>
    <w:uiPriority w:val="0"/>
    <w:pPr>
      <w:tabs>
        <w:tab w:val="center" w:pos="4153"/>
        <w:tab w:val="right" w:pos="8306"/>
      </w:tabs>
      <w:snapToGrid w:val="0"/>
      <w:jc w:val="center"/>
    </w:pPr>
    <w:rPr>
      <w:sz w:val="18"/>
      <w:szCs w:val="18"/>
    </w:rPr>
  </w:style>
  <w:style w:type="character" w:customStyle="1" w:styleId="8">
    <w:name w:val="页眉 字符"/>
    <w:basedOn w:val="7"/>
    <w:link w:val="5"/>
    <w:uiPriority w:val="0"/>
    <w:rPr>
      <w:rFonts w:ascii="Times New Roman" w:hAnsi="Times New Roman"/>
      <w:sz w:val="18"/>
      <w:szCs w:val="18"/>
    </w:rPr>
  </w:style>
  <w:style w:type="character" w:customStyle="1" w:styleId="9">
    <w:name w:val="页脚 字符"/>
    <w:basedOn w:val="7"/>
    <w:link w:val="4"/>
    <w:uiPriority w:val="0"/>
    <w:rPr>
      <w:rFonts w:ascii="Times New Roman" w:hAnsi="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4529</Words>
  <Characters>4709</Characters>
  <Lines>36</Lines>
  <Paragraphs>10</Paragraphs>
  <TotalTime>2</TotalTime>
  <ScaleCrop>false</ScaleCrop>
  <LinksUpToDate>false</LinksUpToDate>
  <CharactersWithSpaces>5035</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2025-03-12T06:13:00Z</dcterms:created>
  <dc:creator>超超</dc:creator>
  <cp:lastModifiedBy>大帅</cp:lastModifiedBy>
  <dcterms:modified xsi:type="dcterms:W3CDTF">2025-05-30T06:13:52Z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290C36D718A34B95A381C1D9A4867CFD_13</vt:lpwstr>
  </property>
  <property fmtid="{D5CDD505-2E9C-101B-9397-08002B2CF9AE}" pid="4" name="KSOTemplateDocerSaveRecord">
    <vt:lpwstr>eyJoZGlkIjoiNGVhNTRkYzNmZTZlNTQ0NTRhYTU5NjJiMDVlOTk3ZmMiLCJ1c2VySWQiOiI4MzY2MDM1OTUifQ==</vt:lpwstr>
  </property>
</Properties>
</file>