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Financial Risk Assessment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Assesses financial risks using the BGYOR classification methodology aligned with SHOC risk management standards.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1.4 | Output Code: FRA-01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of Assessment: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 Name/Title: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BGYOR Risk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408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 (&lt;5%)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Unlikely (5-20%)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(20-50%)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Likely (50-80%)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Almost Certain (&gt;80%)</w:t>
            </w:r>
          </w:p>
        </w:tc>
        <w:tc>
          <w:tcPr>
            <w:tcW w:type="dxa" w:w="40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1800"/>
        <w:gridCol w:w="2000"/>
        <w:gridCol w:w="1480"/>
      </w:tblGrid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overrun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☐B ☐G ☐Y ☐O ☐R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Donor fund delay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☐B ☐G ☐Y ☐O ☐R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fluctuation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☐B ☐G ☐Y ☐O ☐R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Fraud/misappropriation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☐B ☐G ☐Y ☐O ☐R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☐B ☐G ☐Y ☐O ☐R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Overall Risk Assessment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color w:val="000000"/>
          <w:sz w:val="18"/>
          <w:szCs w:val="18"/>
        </w:rPr>
        <w:t xml:space="preserve">Overall Financial Risk Rating: ☐ Blue ☐ Green ☐ Yellow ☐ Orange ☐ Red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2026-03-26T17:08:28.072Z</dcterms:created>
  <dcterms:modified xsi:type="dcterms:W3CDTF">2026-03-26T17:08:28.072Z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