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284B" w14:textId="77777777" w:rsidR="00C9088B" w:rsidRDefault="00000000">
      <w:pPr>
        <w:pStyle w:val="Heading1"/>
      </w:pPr>
      <w:r>
        <w:lastRenderedPageBreak/>
        <w:t>Annex 7.D — Security Risk Register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46D15FC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FAC4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0C9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SHOC-SRR-[YYYY]-[VERSION]</w:t>
            </w:r>
          </w:p>
        </w:tc>
      </w:tr>
      <w:tr w:rsidR="00C9088B" w14:paraId="5D14EE6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42025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216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Risk Register Template</w:t>
            </w:r>
          </w:p>
        </w:tc>
      </w:tr>
      <w:tr w:rsidR="00C9088B" w14:paraId="4E204A3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C0EB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D35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Consolidated risk register for SOPs 7.1, 7.2, and 7.3 using the BGYOR methodology. Referenced throughout all three SOPs.</w:t>
            </w:r>
          </w:p>
        </w:tc>
      </w:tr>
    </w:tbl>
    <w:p w14:paraId="47CB23AD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0673C93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47093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Last Updated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9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7629D45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A5C8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Custodian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D81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</w:tr>
      <w:tr w:rsidR="00C9088B" w14:paraId="4F02834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2F37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 Cycle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377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Bi-annual or post-incident</w:t>
            </w:r>
          </w:p>
        </w:tc>
      </w:tr>
    </w:tbl>
    <w:p w14:paraId="2E722683" w14:textId="77777777" w:rsidR="00C9088B" w:rsidRDefault="00000000">
      <w:pPr>
        <w:pStyle w:val="Heading3"/>
      </w:pPr>
      <w:r>
        <w:t>Risk Rating Matrix</w:t>
      </w:r>
    </w:p>
    <w:p w14:paraId="6C3C3785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t>Risk Score = Likelihood (1–5) × Impact (1–5)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200"/>
        <w:gridCol w:w="4226"/>
      </w:tblGrid>
      <w:tr w:rsidR="00C9088B" w14:paraId="19B09168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AD18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Range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58E7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BGYOR Level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69A2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4DC3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</w:tr>
      <w:tr w:rsidR="00C9088B" w14:paraId="35CDA04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067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1–4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EF7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🟦 Blue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1F9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Very Low / Negligible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D46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Accept; routine monitoring</w:t>
            </w:r>
          </w:p>
        </w:tc>
      </w:tr>
      <w:tr w:rsidR="00C9088B" w14:paraId="7C46499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ADB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5–8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2D6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🟢 Green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AA6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Low / Manageable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738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Manage via existing controls</w:t>
            </w:r>
          </w:p>
        </w:tc>
      </w:tr>
      <w:tr w:rsidR="00C9088B" w14:paraId="36A48C0C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20B3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9–14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5CD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🟡 Yellow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94C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EF3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Active monitoring; review controls</w:t>
            </w:r>
          </w:p>
        </w:tc>
      </w:tr>
      <w:tr w:rsidR="00C9088B" w14:paraId="1F28A57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D7BC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15–19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17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🟠 Orange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4D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High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EAD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Urgent mitigation required</w:t>
            </w:r>
          </w:p>
        </w:tc>
      </w:tr>
      <w:tr w:rsidR="00C9088B" w14:paraId="66043ED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0E22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20–25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0F22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🔴 Red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65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42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0BE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escalation; ED approval</w:t>
            </w:r>
          </w:p>
        </w:tc>
      </w:tr>
    </w:tbl>
    <w:p w14:paraId="4BEBE126" w14:textId="77777777" w:rsidR="00C9088B" w:rsidRDefault="00C9088B">
      <w:pPr>
        <w:spacing w:before="100" w:after="100"/>
        <w:jc w:val="both"/>
      </w:pPr>
    </w:p>
    <w:p w14:paraId="3329523C" w14:textId="77777777" w:rsidR="00C9088B" w:rsidRDefault="00000000">
      <w:pPr>
        <w:pStyle w:val="Heading3"/>
      </w:pPr>
      <w:r>
        <w:t>Risk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"/>
        <w:gridCol w:w="1521"/>
        <w:gridCol w:w="1011"/>
        <w:gridCol w:w="946"/>
        <w:gridCol w:w="1031"/>
        <w:gridCol w:w="1807"/>
        <w:gridCol w:w="1031"/>
        <w:gridCol w:w="1303"/>
      </w:tblGrid>
      <w:tr w:rsidR="00C9088B" w14:paraId="7226021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4A30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0596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3A8C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EAFA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4D5C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Inherent L×I=Score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A442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Controls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484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Residual L×I=Score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C925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9088B" w14:paraId="06BDD10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B364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EAE3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5C1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7.1/7.2/7.3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8F6A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AE6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E0A9A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9693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5864A" w14:textId="77777777" w:rsidR="00C9088B" w:rsidRDefault="00C9088B">
            <w:pPr>
              <w:spacing w:before="30" w:after="30"/>
            </w:pPr>
          </w:p>
        </w:tc>
      </w:tr>
      <w:tr w:rsidR="00C9088B" w14:paraId="19C2A00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7BA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B4DC4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31545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3D35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F20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E7FF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F88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7011E" w14:textId="77777777" w:rsidR="00C9088B" w:rsidRDefault="00C9088B">
            <w:pPr>
              <w:spacing w:before="30" w:after="30"/>
            </w:pPr>
          </w:p>
        </w:tc>
      </w:tr>
      <w:tr w:rsidR="00C9088B" w14:paraId="70FAA81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14A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0D2F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A957D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5BFF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3361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FAAE8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C85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F36EA" w14:textId="77777777" w:rsidR="00C9088B" w:rsidRDefault="00C9088B">
            <w:pPr>
              <w:spacing w:before="30" w:after="30"/>
            </w:pPr>
          </w:p>
        </w:tc>
      </w:tr>
      <w:tr w:rsidR="00C9088B" w14:paraId="2506A4F9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F68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BB0B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7F444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2919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94E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58D37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74E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A0D21" w14:textId="77777777" w:rsidR="00C9088B" w:rsidRDefault="00C9088B">
            <w:pPr>
              <w:spacing w:before="30" w:after="30"/>
            </w:pPr>
          </w:p>
        </w:tc>
      </w:tr>
      <w:tr w:rsidR="00C9088B" w14:paraId="43E9085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3B3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CE6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1DABB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0F5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6BC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C4349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E26A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EAEE9" w14:textId="77777777" w:rsidR="00C9088B" w:rsidRDefault="00C9088B">
            <w:pPr>
              <w:spacing w:before="30" w:after="30"/>
            </w:pPr>
          </w:p>
        </w:tc>
      </w:tr>
      <w:tr w:rsidR="00C9088B" w14:paraId="51C7E70B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200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54A02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4F588" w14:textId="77777777" w:rsidR="00C9088B" w:rsidRDefault="00C9088B">
            <w:pPr>
              <w:spacing w:before="30" w:after="30"/>
            </w:pP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C553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☐Pre ☐On ☐End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D437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31AED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CF45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__×__=__</w:t>
            </w:r>
          </w:p>
        </w:tc>
        <w:tc>
          <w:tcPr>
            <w:tcW w:w="1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6FD14" w14:textId="77777777" w:rsidR="00C9088B" w:rsidRDefault="00C9088B">
            <w:pPr>
              <w:spacing w:before="30" w:after="30"/>
            </w:pPr>
          </w:p>
        </w:tc>
      </w:tr>
    </w:tbl>
    <w:p w14:paraId="7CF777B8" w14:textId="77777777" w:rsidR="00C9088B" w:rsidRDefault="00C9088B">
      <w:pPr>
        <w:spacing w:before="100" w:after="100"/>
        <w:jc w:val="both"/>
      </w:pPr>
    </w:p>
    <w:p w14:paraId="3CB8CF2C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Register Custodian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18F09218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31000:2018 Risk Management; ISO 22301:2019 BCM; SHOC Group 7 BGYOR Framework</w:t>
      </w:r>
    </w:p>
    <w:p w14:paraId="602164A7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