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54DF" w14:textId="77777777" w:rsidR="00C9088B" w:rsidRDefault="00000000">
      <w:pPr>
        <w:pStyle w:val="Heading1"/>
      </w:pPr>
      <w:r>
        <w:lastRenderedPageBreak/>
        <w:t>Annex 7.E — Personnel Security Register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13BC29B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7F90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971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SHOC-PSR-[YYYY]-[VERSION]</w:t>
            </w:r>
          </w:p>
        </w:tc>
      </w:tr>
      <w:tr w:rsidR="00C9088B" w14:paraId="38170BA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9EA3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BF0F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Personnel Security Register</w:t>
            </w:r>
          </w:p>
        </w:tc>
      </w:tr>
      <w:tr w:rsidR="00C9088B" w14:paraId="6887358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768D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E42D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Centralised register of all SHOC personnel security profiles. Referenced in SOP 7.2 Phase 1 Step 1, Phase 3 Step 3.</w:t>
            </w:r>
          </w:p>
        </w:tc>
      </w:tr>
    </w:tbl>
    <w:p w14:paraId="261D6CD0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5256570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42933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Classification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D67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CONFIDENTIAL — Personnel Data</w:t>
            </w:r>
          </w:p>
        </w:tc>
      </w:tr>
      <w:tr w:rsidR="00C9088B" w14:paraId="0FAFBA9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6C91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Last Updated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E689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6CA6476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5A97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Custodian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4058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Assistant HR &amp; Admin Officer (Post 18)</w:t>
            </w:r>
          </w:p>
        </w:tc>
      </w:tr>
    </w:tbl>
    <w:p w14:paraId="420DBEB0" w14:textId="77777777" w:rsidR="00C9088B" w:rsidRDefault="00000000">
      <w:pPr>
        <w:pStyle w:val="Heading3"/>
      </w:pPr>
      <w:r>
        <w:t>Personnel Security Profiles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1096"/>
        <w:gridCol w:w="1693"/>
        <w:gridCol w:w="1021"/>
        <w:gridCol w:w="997"/>
        <w:gridCol w:w="1000"/>
        <w:gridCol w:w="1194"/>
      </w:tblGrid>
      <w:tr w:rsidR="00C9088B" w14:paraId="03055A2A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94D6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BAF6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5D33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4F76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Clearance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38E5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Vetting Date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7B53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Induction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FA5B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Zone Access</w:t>
            </w:r>
          </w:p>
        </w:tc>
      </w:tr>
      <w:tr w:rsidR="00C9088B" w14:paraId="32ED98A7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0BA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8DD6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3256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Executive Director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F41A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67DF5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AF5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AA4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393F1AFF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61C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F5E0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7B12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Programmes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3E0E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73563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7F76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AD5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5B61AA2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B717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CD15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82B7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8F9F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9F18A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4043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19A1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9996BE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9FB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158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FF6C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Programme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A7E5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CBD5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8C39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463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74F080E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DAA8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3D18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B56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EW&amp;M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3C02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F9F90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939C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A07F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37C262F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EB0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CE00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C083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 &amp; Reporting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440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353F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9205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B96B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2346BE0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A9D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FE5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F5E7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SCM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793C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E35DB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4DB3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B945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41CBC34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3CB2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5B0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FDDD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Finance &amp; Admin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F1A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5734F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5896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3DC0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6C560FE6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CF18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BA62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32B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ICT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8797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9556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F061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9BC3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651CB0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CD1E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C91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9A55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Comms &amp; PR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9C7F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906C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5D50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AA4D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ED4645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5C0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5DD5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A18D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Translator — French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7EB1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1A16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A998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1B6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5103076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B26B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8252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5FC4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Translator — Portuguese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BB84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8AA0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061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0297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6D5B313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0DA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13–16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CB4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[Names]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B235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EW Assistants (×4)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857C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CB247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03C1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E003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07D54D5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C191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C83C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7D74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Logistics Assistant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BDB1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223FA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B275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1995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2CDEEBC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3EFA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18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E6BC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8B5E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HR &amp; Admin Assistant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6991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BAFB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1E23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F474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3F6F502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706F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19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3AA0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F402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Asst Finance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E43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7224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BD0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3A6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11CB75A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3D2B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8C1A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9FC7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Asst ICT Officer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6F7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9C77A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65C4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FCCA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DBAC145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DE7C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1A22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6520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Secretary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51E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FCD12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B0AB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642B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77BFABF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55CE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9751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DBA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Driver 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BA9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982E7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FBA2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522A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  <w:tr w:rsidR="00C9088B" w14:paraId="41454A1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45B1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7B56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[Name]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743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Driver 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7157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☐Std ☐Enh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047B6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BC8C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2C5A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 ☐R ☐C</w:t>
            </w:r>
          </w:p>
        </w:tc>
      </w:tr>
    </w:tbl>
    <w:p w14:paraId="1A385DED" w14:textId="77777777" w:rsidR="00C9088B" w:rsidRDefault="00000000">
      <w:pPr>
        <w:spacing w:before="100" w:after="100"/>
        <w:jc w:val="both"/>
      </w:pPr>
      <w:r>
        <w:rPr>
          <w:i/>
          <w:iCs/>
          <w:color w:val="555555"/>
          <w:sz w:val="16"/>
          <w:szCs w:val="16"/>
        </w:rPr>
        <w:t>Clearance: Std = Standard | Enh = Enhanced (critical systems/high-risk). Zone: P = Public | R = Restricted | C = Critical</w:t>
      </w:r>
    </w:p>
    <w:p w14:paraId="7F781374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IFRC Duty of Care Standards; UNDSS Personnel Security Framework; VPSHR Guidelines</w:t>
      </w:r>
    </w:p>
    <w:p w14:paraId="3C8F387C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