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DC8CA" w14:textId="77777777" w:rsidR="003A0B1E" w:rsidRDefault="003A0B1E" w:rsidP="003A0B1E">
      <w:pPr>
        <w:pStyle w:val="Heading1"/>
      </w:pPr>
      <w:bookmarkStart w:id="197" w:name="_Annex_AA"/>
      <w:bookmarkStart w:id="198" w:name="_Toc224801706"/>
      <w:r>
        <w:lastRenderedPageBreak/>
        <w:t>ANNEX AA</w:t>
      </w:r>
      <w:bookmarkEnd w:id="197"/>
      <w:bookmarkEnd w:id="198"/>
    </w:p>
    <w:p w14:paraId="5ABCB550" w14:textId="77777777" w:rsidR="003A0B1E" w:rsidRDefault="003A0B1E" w:rsidP="003A0B1E">
      <w:pPr>
        <w:pStyle w:val="Heading2"/>
      </w:pPr>
      <w:bookmarkStart w:id="199" w:name="_Toc224801707"/>
      <w:r>
        <w:t>Cross-Border After-Action Review (CB-AAR) Template</w:t>
      </w:r>
      <w:bookmarkEnd w:id="199"/>
    </w:p>
    <w:p w14:paraId="1484A64A" w14:textId="429A292B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TRANSBOUNDARY COOPERATION Review | Output: CB-AAR-01</w:t>
      </w:r>
    </w:p>
    <w:p w14:paraId="3FEC31C2" w14:textId="77777777" w:rsidR="003A0B1E" w:rsidRDefault="003A0B1E" w:rsidP="003A0B1E">
      <w:pPr>
        <w:pStyle w:val="Heading3"/>
      </w:pPr>
      <w:bookmarkStart w:id="200" w:name="_Toc224801708"/>
      <w:r>
        <w:t>1. Purpose</w:t>
      </w:r>
      <w:bookmarkEnd w:id="200"/>
    </w:p>
    <w:p w14:paraId="633DC740" w14:textId="39773D59" w:rsidR="003A0B1E" w:rsidRDefault="003A0B1E" w:rsidP="003A0B1E">
      <w:pPr>
        <w:spacing w:after="80"/>
      </w:pPr>
      <w:r>
        <w:t>Structured review of cross-border coordination effectiveness. Conducted within 21 days of CBCC deactivation. Findings integrated into POST-MISSION PHASES mission-level AAR.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31F29DAB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11D20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B3CA22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5E67E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C4AB76" w14:textId="77777777" w:rsidR="003A0B1E" w:rsidRDefault="003A0B1E" w:rsidP="007B0E61"/>
        </w:tc>
      </w:tr>
      <w:tr w:rsidR="003A0B1E" w14:paraId="5AA91E1B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76DC1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A6DA4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CEEF7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85105" w14:textId="77777777" w:rsidR="003A0B1E" w:rsidRDefault="003A0B1E" w:rsidP="007B0E61">
            <w:pPr>
              <w:spacing w:after="30"/>
            </w:pPr>
          </w:p>
        </w:tc>
      </w:tr>
    </w:tbl>
    <w:p w14:paraId="24F4E43A" w14:textId="77777777" w:rsidR="003A0B1E" w:rsidRDefault="003A0B1E" w:rsidP="003A0B1E">
      <w:pPr>
        <w:pStyle w:val="Heading3"/>
      </w:pPr>
      <w:bookmarkStart w:id="201" w:name="_Toc224801709"/>
      <w:r>
        <w:t>2. CB-AAR Details</w:t>
      </w:r>
      <w:bookmarkEnd w:id="20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29A7A85A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E4468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73AC5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A0B1E" w14:paraId="7505FE1E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24C4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Emergency Reference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41F00" w14:textId="77777777" w:rsidR="003A0B1E" w:rsidRDefault="003A0B1E" w:rsidP="007B0E61">
            <w:pPr>
              <w:spacing w:after="30"/>
            </w:pPr>
          </w:p>
        </w:tc>
      </w:tr>
      <w:tr w:rsidR="003A0B1E" w14:paraId="76D050AA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2AAC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Countries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F5582" w14:textId="77777777" w:rsidR="003A0B1E" w:rsidRDefault="003A0B1E" w:rsidP="007B0E61">
            <w:pPr>
              <w:spacing w:after="30"/>
            </w:pPr>
          </w:p>
        </w:tc>
      </w:tr>
      <w:tr w:rsidR="003A0B1E" w14:paraId="7FC2C658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384F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CBCC Active Period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FDCB3" w14:textId="77777777" w:rsidR="003A0B1E" w:rsidRDefault="003A0B1E" w:rsidP="007B0E61">
            <w:pPr>
              <w:spacing w:after="30"/>
            </w:pPr>
          </w:p>
        </w:tc>
      </w:tr>
      <w:tr w:rsidR="003A0B1E" w14:paraId="1556B2F7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01FD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CB-AAR 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18CE3" w14:textId="77777777" w:rsidR="003A0B1E" w:rsidRDefault="003A0B1E" w:rsidP="007B0E61">
            <w:pPr>
              <w:spacing w:after="30"/>
            </w:pPr>
          </w:p>
        </w:tc>
      </w:tr>
      <w:tr w:rsidR="003A0B1E" w14:paraId="757F1B40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C60A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Chair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5E0D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Director</w:t>
            </w:r>
          </w:p>
        </w:tc>
      </w:tr>
      <w:tr w:rsidR="003A0B1E" w14:paraId="0D41EA9A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5583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Participants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61A77" w14:textId="77777777" w:rsidR="003A0B1E" w:rsidRDefault="003A0B1E" w:rsidP="007B0E61">
            <w:pPr>
              <w:spacing w:after="30"/>
            </w:pPr>
          </w:p>
        </w:tc>
      </w:tr>
    </w:tbl>
    <w:p w14:paraId="34D1BF3B" w14:textId="77777777" w:rsidR="003A0B1E" w:rsidRDefault="003A0B1E" w:rsidP="003A0B1E">
      <w:pPr>
        <w:pStyle w:val="Heading3"/>
      </w:pPr>
      <w:bookmarkStart w:id="202" w:name="_Toc224801710"/>
      <w:r>
        <w:t>3. Cross-Border Coordination Assessment</w:t>
      </w:r>
      <w:bookmarkEnd w:id="20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040"/>
        <w:gridCol w:w="1040"/>
        <w:gridCol w:w="1040"/>
        <w:gridCol w:w="1040"/>
        <w:gridCol w:w="2080"/>
      </w:tblGrid>
      <w:tr w:rsidR="003A0B1E" w14:paraId="17E7514C" w14:textId="77777777" w:rsidTr="007B0E61"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A2177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10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C2D8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10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1BEF3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10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B4A9A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10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DC7C7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2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A018E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5=Outstanding Comments</w:t>
            </w:r>
          </w:p>
        </w:tc>
      </w:tr>
      <w:tr w:rsidR="003A0B1E" w14:paraId="60EC75A0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6971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CBCC activation timeliness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030D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DD906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8938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0AE6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EC79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4C55C458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95FA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Information sharing between countries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866E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0C42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2A96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A5B3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9412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6D351426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A46E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Humanitarian corridor effectiveness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DD03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9F42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9112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4D95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2D15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59333BFB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52DC1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Joint assessment quality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1E93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CF02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59D5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32ED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9969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607C533B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0E23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Resource allocation fairness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2C37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0F57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56BD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5CA0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04429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7A364583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1E23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Communication across borders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115E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20D4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4CFF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B9EDF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C383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0F15AC20" w14:textId="77777777" w:rsidR="003A0B1E" w:rsidRDefault="003A0B1E" w:rsidP="003A0B1E">
      <w:pPr>
        <w:pStyle w:val="Heading3"/>
      </w:pPr>
      <w:bookmarkStart w:id="203" w:name="_Toc224801711"/>
      <w:r>
        <w:t>4. Key Lessons and Recommendations</w:t>
      </w:r>
      <w:bookmarkEnd w:id="20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3120"/>
        <w:gridCol w:w="2340"/>
        <w:gridCol w:w="1560"/>
        <w:gridCol w:w="1560"/>
      </w:tblGrid>
      <w:tr w:rsidR="003A0B1E" w14:paraId="2376A053" w14:textId="77777777" w:rsidTr="007B0E61"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7912ED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D7FCF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Lesson/Recommendation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116F8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F0139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2C4C4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Deadline</w:t>
            </w:r>
          </w:p>
        </w:tc>
      </w:tr>
      <w:tr w:rsidR="003A0B1E" w14:paraId="5A8038C3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F15EE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29A15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E137C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E5FA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H ☐ M ☐ 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D76666" w14:textId="77777777" w:rsidR="003A0B1E" w:rsidRDefault="003A0B1E" w:rsidP="007B0E61">
            <w:pPr>
              <w:spacing w:after="30"/>
            </w:pPr>
          </w:p>
        </w:tc>
      </w:tr>
      <w:tr w:rsidR="003A0B1E" w14:paraId="088DAED5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E654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07032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CFD5E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0B26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H ☐ M ☐ 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8D62F" w14:textId="77777777" w:rsidR="003A0B1E" w:rsidRDefault="003A0B1E" w:rsidP="007B0E61">
            <w:pPr>
              <w:spacing w:after="30"/>
            </w:pPr>
          </w:p>
        </w:tc>
      </w:tr>
      <w:tr w:rsidR="003A0B1E" w14:paraId="237B69BC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8C81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1FD37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C0A68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8396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H ☐ M ☐ 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F2DC2" w14:textId="77777777" w:rsidR="003A0B1E" w:rsidRDefault="003A0B1E" w:rsidP="007B0E61">
            <w:pPr>
              <w:spacing w:after="30"/>
            </w:pPr>
          </w:p>
        </w:tc>
      </w:tr>
    </w:tbl>
    <w:p w14:paraId="5094073F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30D45A29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E6CD5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6020B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6EB324AD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3A18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A8683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679474EA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2F61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8745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4F5E291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6152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5E1A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32FB040B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A5ED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667D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62D6D869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