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8B21" w14:textId="77777777" w:rsidR="006F1B16" w:rsidRDefault="006F1B16" w:rsidP="006F1B16">
      <w:pPr>
        <w:pStyle w:val="Heading1"/>
      </w:pPr>
      <w:bookmarkStart w:id="29" w:name="_Annex_31B"/>
      <w:bookmarkStart w:id="30" w:name="_Toc216713370"/>
      <w:bookmarkStart w:id="31" w:name="_Toc224745520"/>
      <w:r>
        <w:lastRenderedPageBreak/>
        <w:t>ANNEX 3.1-B: STANDARD NETWORK TOPOLOGY DIAGRAM</w:t>
      </w:r>
      <w:bookmarkEnd w:id="29"/>
      <w:bookmarkEnd w:id="30"/>
      <w:bookmarkEnd w:id="31"/>
    </w:p>
    <w:p w14:paraId="7D124E1F" w14:textId="77777777" w:rsidR="006F1B16" w:rsidRDefault="006F1B16" w:rsidP="006F1B16">
      <w:pPr>
        <w:spacing w:after="200"/>
        <w:jc w:val="center"/>
      </w:pPr>
      <w:r>
        <w:rPr>
          <w:i/>
          <w:iCs/>
          <w:sz w:val="24"/>
          <w:szCs w:val="24"/>
        </w:rPr>
        <w:t>SHOC ↔ NDMA ↔ Field Connectivity Architecture</w:t>
      </w:r>
    </w:p>
    <w:p w14:paraId="424BF2FF" w14:textId="77777777" w:rsidR="006F1B16" w:rsidRDefault="006F1B16" w:rsidP="006F1B16">
      <w:pPr>
        <w:pStyle w:val="Heading2"/>
      </w:pPr>
      <w:bookmarkStart w:id="32" w:name="_Toc216713371"/>
      <w:bookmarkStart w:id="33" w:name="_Toc224745521"/>
      <w:r>
        <w:t>Topology Layer Architecture</w:t>
      </w:r>
      <w:bookmarkEnd w:id="32"/>
      <w:bookmarkEnd w:id="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3655"/>
        <w:gridCol w:w="3655"/>
      </w:tblGrid>
      <w:tr w:rsidR="006F1B16" w14:paraId="37EA6B28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6B6048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FD81AA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083B60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Functions</w:t>
            </w:r>
          </w:p>
        </w:tc>
      </w:tr>
      <w:tr w:rsidR="006F1B16" w14:paraId="505DE31C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1D9DBF" w14:textId="77777777" w:rsidR="006F1B16" w:rsidRDefault="006F1B16" w:rsidP="00BC6EEA">
            <w:r>
              <w:rPr>
                <w:sz w:val="20"/>
                <w:szCs w:val="20"/>
              </w:rPr>
              <w:t>A. Core Layer (SHOC HQ / Situation Room)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39756B" w14:textId="77777777" w:rsidR="006F1B16" w:rsidRDefault="006F1B16" w:rsidP="00BC6EEA">
            <w:r>
              <w:rPr>
                <w:sz w:val="20"/>
                <w:szCs w:val="20"/>
              </w:rPr>
              <w:t>• Redundant VSAT + Starlink uplink • Core firewall &amp; VPN concentrator • PMIS dashboard • Cloud Node (Azure SA Region)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5A32DB" w14:textId="77777777" w:rsidR="006F1B16" w:rsidRDefault="006F1B16" w:rsidP="00BC6EEA">
            <w:r>
              <w:rPr>
                <w:sz w:val="20"/>
                <w:szCs w:val="20"/>
              </w:rPr>
              <w:t>• Primary command &amp; control • Data aggregation &amp; analysis • Secure external connectivity • Continental coordination</w:t>
            </w:r>
          </w:p>
        </w:tc>
      </w:tr>
      <w:tr w:rsidR="006F1B16" w14:paraId="2A858580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DE840F" w14:textId="77777777" w:rsidR="006F1B16" w:rsidRDefault="006F1B16" w:rsidP="00BC6EEA">
            <w:r>
              <w:rPr>
                <w:sz w:val="20"/>
                <w:szCs w:val="20"/>
              </w:rPr>
              <w:t>B. Distribution Layer (NDMA HQ / EOCs)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F7D19F4" w14:textId="77777777" w:rsidR="006F1B16" w:rsidRDefault="006F1B16" w:rsidP="00BC6EEA">
            <w:r>
              <w:rPr>
                <w:sz w:val="20"/>
                <w:szCs w:val="20"/>
              </w:rPr>
              <w:t>• Encrypted VPN tunnels to SHOC • HF/VHF Gateway • LTE fail-over router • Local server infrastructure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596BB3" w14:textId="77777777" w:rsidR="006F1B16" w:rsidRDefault="006F1B16" w:rsidP="00BC6EEA">
            <w:r>
              <w:rPr>
                <w:sz w:val="20"/>
                <w:szCs w:val="20"/>
              </w:rPr>
              <w:t>• National coordination • Regional data relay • Interoperability gateway • Backup connectivity</w:t>
            </w:r>
          </w:p>
        </w:tc>
      </w:tr>
      <w:tr w:rsidR="006F1B16" w14:paraId="19FA4E94" w14:textId="77777777" w:rsidTr="00BC6EEA"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F5F4050" w14:textId="77777777" w:rsidR="006F1B16" w:rsidRDefault="006F1B16" w:rsidP="00BC6EEA">
            <w:r>
              <w:rPr>
                <w:sz w:val="20"/>
                <w:szCs w:val="20"/>
              </w:rPr>
              <w:t>C. Field Layer (Forward Teams)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331B78" w14:textId="77777777" w:rsidR="006F1B16" w:rsidRDefault="006F1B16" w:rsidP="00BC6EEA">
            <w:r>
              <w:rPr>
                <w:sz w:val="20"/>
                <w:szCs w:val="20"/>
              </w:rPr>
              <w:t>• Portable VSAT or Starlink • Local Wi-Fi access point • VHF/HF handheld radios • Solar-powered battery + UPS</w:t>
            </w:r>
          </w:p>
        </w:tc>
        <w:tc>
          <w:tcPr>
            <w:tcW w:w="36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B1C5B4" w14:textId="77777777" w:rsidR="006F1B16" w:rsidRDefault="006F1B16" w:rsidP="00BC6EEA">
            <w:r>
              <w:rPr>
                <w:sz w:val="20"/>
                <w:szCs w:val="20"/>
              </w:rPr>
              <w:t>• Frontline communications • Field data collection • Last-mile connectivity • Mobile coordination</w:t>
            </w:r>
          </w:p>
        </w:tc>
      </w:tr>
    </w:tbl>
    <w:p w14:paraId="32A5427B" w14:textId="77777777" w:rsidR="006F1B16" w:rsidRDefault="006F1B16" w:rsidP="006F1B16">
      <w:pPr>
        <w:pStyle w:val="Heading2"/>
      </w:pPr>
      <w:bookmarkStart w:id="34" w:name="_Toc216713372"/>
      <w:bookmarkStart w:id="35" w:name="_Toc224745522"/>
      <w:r>
        <w:t>Data Flow Diagram</w:t>
      </w:r>
      <w:bookmarkEnd w:id="34"/>
      <w:bookmarkEnd w:id="35"/>
    </w:p>
    <w:p w14:paraId="08F443CD" w14:textId="77777777" w:rsidR="006F1B16" w:rsidRDefault="006F1B16" w:rsidP="006F1B16">
      <w:pPr>
        <w:pStyle w:val="Heading2"/>
      </w:pPr>
      <w:bookmarkStart w:id="36" w:name="_Toc224745523"/>
      <w:r>
        <w:rPr>
          <w:noProof/>
        </w:rPr>
        <w:drawing>
          <wp:inline distT="0" distB="0" distL="0" distR="0" wp14:anchorId="1AEF958D" wp14:editId="74490D73">
            <wp:extent cx="2301875" cy="3460481"/>
            <wp:effectExtent l="0" t="0" r="0" b="0"/>
            <wp:docPr id="389371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71875" name="Picture 3893718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3" t="9324" r="11122" b="1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26" cy="350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6"/>
    </w:p>
    <w:p w14:paraId="1DD9BE28" w14:textId="77777777" w:rsidR="006F1B16" w:rsidRDefault="006F1B16" w:rsidP="006F1B16">
      <w:pPr>
        <w:pStyle w:val="Heading2"/>
      </w:pPr>
      <w:bookmarkStart w:id="37" w:name="_Toc216713373"/>
      <w:bookmarkStart w:id="38" w:name="_Toc224745524"/>
      <w:r>
        <w:t>Security Overlay Requirements</w:t>
      </w:r>
      <w:bookmarkEnd w:id="37"/>
      <w:bookmarkEnd w:id="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4AF0D55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560BE3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 Control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B6E8BA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 Standard</w:t>
            </w:r>
          </w:p>
        </w:tc>
      </w:tr>
      <w:tr w:rsidR="006F1B16" w14:paraId="2B8B781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366479" w14:textId="77777777" w:rsidR="006F1B16" w:rsidRDefault="006F1B16" w:rsidP="00BC6EEA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B929F6" w14:textId="77777777" w:rsidR="006F1B16" w:rsidRDefault="006F1B16" w:rsidP="00BC6EEA">
            <w:r>
              <w:rPr>
                <w:sz w:val="20"/>
                <w:szCs w:val="20"/>
              </w:rPr>
              <w:t>Two-Factor Authentication (2FA) mandatory on all SHOC-bound connections</w:t>
            </w:r>
          </w:p>
        </w:tc>
      </w:tr>
      <w:tr w:rsidR="006F1B16" w14:paraId="47F0AEE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08AED43" w14:textId="77777777" w:rsidR="006F1B16" w:rsidRDefault="006F1B16" w:rsidP="00BC6EEA">
            <w:r>
              <w:rPr>
                <w:sz w:val="20"/>
                <w:szCs w:val="20"/>
              </w:rPr>
              <w:t>Data Resilience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CBCF431" w14:textId="77777777" w:rsidR="006F1B16" w:rsidRDefault="006F1B16" w:rsidP="00BC6EEA">
            <w:r>
              <w:rPr>
                <w:sz w:val="20"/>
                <w:szCs w:val="20"/>
              </w:rPr>
              <w:t>Cloud mirroring every hour to Azure South Africa Region</w:t>
            </w:r>
          </w:p>
        </w:tc>
      </w:tr>
      <w:tr w:rsidR="006F1B16" w14:paraId="01D78EF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772A91C" w14:textId="77777777" w:rsidR="006F1B16" w:rsidRDefault="006F1B16" w:rsidP="00BC6EEA">
            <w:r>
              <w:rPr>
                <w:sz w:val="20"/>
                <w:szCs w:val="20"/>
              </w:rPr>
              <w:t>Failover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CE852C" w14:textId="77777777" w:rsidR="006F1B16" w:rsidRDefault="006F1B16" w:rsidP="00BC6EEA">
            <w:r>
              <w:rPr>
                <w:sz w:val="20"/>
                <w:szCs w:val="20"/>
              </w:rPr>
              <w:t>Automatic fail-over between SATCOM + LTE (&lt; 30 second switchover)</w:t>
            </w:r>
          </w:p>
        </w:tc>
      </w:tr>
      <w:tr w:rsidR="006F1B16" w14:paraId="7D392C6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94C3D1" w14:textId="77777777" w:rsidR="006F1B16" w:rsidRDefault="006F1B16" w:rsidP="00BC6EEA">
            <w:r>
              <w:rPr>
                <w:sz w:val="20"/>
                <w:szCs w:val="20"/>
              </w:rPr>
              <w:t>Encryption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7290F34" w14:textId="77777777" w:rsidR="006F1B16" w:rsidRDefault="006F1B16" w:rsidP="00BC6EEA">
            <w:r>
              <w:rPr>
                <w:sz w:val="20"/>
                <w:szCs w:val="20"/>
              </w:rPr>
              <w:t>AES-256 encryption on all data in transit and at rest</w:t>
            </w:r>
          </w:p>
        </w:tc>
      </w:tr>
      <w:tr w:rsidR="006F1B16" w14:paraId="32858BF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698EFD" w14:textId="77777777" w:rsidR="006F1B16" w:rsidRDefault="006F1B16" w:rsidP="00BC6EEA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9F4778" w14:textId="77777777" w:rsidR="006F1B16" w:rsidRDefault="006F1B16" w:rsidP="00BC6EEA">
            <w:r>
              <w:rPr>
                <w:sz w:val="20"/>
                <w:szCs w:val="20"/>
              </w:rPr>
              <w:t>24/7 SOC monitoring with SolarWinds/Zabbix alerting</w:t>
            </w:r>
          </w:p>
        </w:tc>
      </w:tr>
    </w:tbl>
    <w:p w14:paraId="4857D74D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