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8A5D" w14:textId="77777777" w:rsidR="00D26A81" w:rsidRDefault="00000000">
      <w:pPr>
        <w:pStyle w:val="Heading1"/>
      </w:pPr>
      <w:r>
        <w:lastRenderedPageBreak/>
        <w:t>Annex 6.1-H: Cross-Functional Data Flow Diagram (SOPs 1–9)</w:t>
      </w:r>
    </w:p>
    <w:p w14:paraId="01F8C09F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visualise data flows between all SHOC functional areas, external partners, and the central DRMIMS repository.</w:t>
      </w:r>
    </w:p>
    <w:p w14:paraId="3F023508" w14:textId="77777777" w:rsidR="00D26A81" w:rsidRDefault="00000000">
      <w:pPr>
        <w:pStyle w:val="Heading2"/>
      </w:pPr>
      <w:r>
        <w:t>Internal Data Flow Matrix</w:t>
      </w:r>
    </w:p>
    <w:p w14:paraId="52B94042" w14:textId="77777777" w:rsidR="00D26A81" w:rsidRDefault="00000000">
      <w:pPr>
        <w:spacing w:after="100"/>
      </w:pPr>
      <w:r>
        <w:rPr>
          <w:i/>
          <w:iCs/>
        </w:rPr>
        <w:t xml:space="preserve">Legend: </w:t>
      </w:r>
      <w:r>
        <w:t>→ Provides data to | ← Receives data from | ↔ Bidirectional exchange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129"/>
        <w:gridCol w:w="1078"/>
        <w:gridCol w:w="1084"/>
        <w:gridCol w:w="1075"/>
        <w:gridCol w:w="1120"/>
        <w:gridCol w:w="1133"/>
        <w:gridCol w:w="1088"/>
      </w:tblGrid>
      <w:tr w:rsidR="000B1B5F" w14:paraId="05847DBC" w14:textId="77777777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7E31858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From \ To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E299ED1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Finance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DBE9045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EW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2B16077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Ops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9CE6DF3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HR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F5CF060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ICT/IM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B7E6F57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Security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C8215A0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SCM</w:t>
            </w:r>
          </w:p>
        </w:tc>
      </w:tr>
      <w:tr w:rsidR="000B1B5F" w14:paraId="6FF5CF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6D84A4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Finance (SOP 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2A6230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9A242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699B99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83159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E0605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DC56E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FD997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</w:tr>
      <w:tr w:rsidR="000B1B5F" w14:paraId="6B2BFA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32270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EW (SOP 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0FB72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CF2C9F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3B8876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BEEEE6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83C056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A9597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D980B9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B1B5F" w14:paraId="60A067D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45EEA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Ops (SOP 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E22C8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D2198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2ACAA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AE3F5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BFD28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4FD5A0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674244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</w:tr>
      <w:tr w:rsidR="000B1B5F" w14:paraId="2FB8D5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4BBCDC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HR (SOP 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3D18FF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98C3C8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FA424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2CCC18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42A4DC9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F6F2C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CBD50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B1B5F" w14:paraId="1E5C2BF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DB975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ICT/IM (SOP 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495FB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0EA908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1B86896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91038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41455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0EA2CD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B887E2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</w:tr>
      <w:tr w:rsidR="000B1B5F" w14:paraId="57A467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10F19A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Security (SOP 7)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58696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9D125D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7A52EC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70140D1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62083A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68069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D2D0E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←</w:t>
            </w:r>
          </w:p>
        </w:tc>
      </w:tr>
      <w:tr w:rsidR="000B1B5F" w14:paraId="713619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914846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SCM (SOP 8)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329089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83C3FA8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62FAF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25B3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B1975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076FA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→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651F52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43796E84" w14:textId="77777777" w:rsidR="00D26A81" w:rsidRDefault="00000000">
      <w:pPr>
        <w:pStyle w:val="Heading2"/>
      </w:pPr>
      <w:r>
        <w:t>External Data Flow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5"/>
        <w:gridCol w:w="2463"/>
        <w:gridCol w:w="2460"/>
        <w:gridCol w:w="1970"/>
      </w:tblGrid>
      <w:tr w:rsidR="000B1B5F" w14:paraId="277B724F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4919F9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External Source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1A40AF9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Inbound Data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D459EE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Outbound Data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2ED5FA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Primary SHOC Unit</w:t>
            </w:r>
          </w:p>
        </w:tc>
      </w:tr>
      <w:tr w:rsidR="000B1B5F" w14:paraId="0A3B96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5DCFA6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Member State NDMAs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7EC94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Hazard reports, requests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FCD22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Alerts, SITREPs, resources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116294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Operations</w:t>
            </w:r>
          </w:p>
        </w:tc>
      </w:tr>
      <w:tr w:rsidR="000B1B5F" w14:paraId="40EE92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AF8BFE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AMHEWAS / AU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3E6BD7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Multi-hazard EW feeds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5FF28B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Regional situation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C9CDF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Early Warning</w:t>
            </w:r>
          </w:p>
        </w:tc>
      </w:tr>
      <w:tr w:rsidR="000B1B5F" w14:paraId="205D1B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B6803C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Virtual OSOCC / GDACS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066C23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Coordination, alerts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13488C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Situation updates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770E06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Operations / IM</w:t>
            </w:r>
          </w:p>
        </w:tc>
      </w:tr>
      <w:tr w:rsidR="000B1B5F" w14:paraId="0AE6DB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F02703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SADC Climate Services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977E5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Forecasts, outlooks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D5B3D4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Impact assessments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A60B405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Early Warning</w:t>
            </w:r>
          </w:p>
        </w:tc>
      </w:tr>
      <w:tr w:rsidR="000B1B5F" w14:paraId="531E07D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58AA228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IFRC GO Platform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7BC73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ERU status, appeals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195D43C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SHOC deployment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BFBBA1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Operations</w:t>
            </w:r>
          </w:p>
        </w:tc>
      </w:tr>
      <w:tr w:rsidR="000B1B5F" w14:paraId="153EA5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21F07D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MET Services (INAM/SAWS)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7C82F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Weather forecasts, CAP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2B84E7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Impact reports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A6E8D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Early Warning</w:t>
            </w:r>
          </w:p>
        </w:tc>
      </w:tr>
      <w:tr w:rsidR="000B1B5F" w14:paraId="540C2C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71E13B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Donors / Partners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EDA4882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Funding confirmations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1C864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Financial reports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C5856F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Finance</w:t>
            </w:r>
          </w:p>
        </w:tc>
      </w:tr>
    </w:tbl>
    <w:p w14:paraId="721E7DDF" w14:textId="77777777" w:rsidR="00D26A81" w:rsidRDefault="00000000">
      <w:pPr>
        <w:pStyle w:val="Heading2"/>
      </w:pPr>
      <w:r>
        <w:t>Simplified Data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0B1B5F" w14:paraId="4BE6C457" w14:textId="77777777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3F2FD"/>
          </w:tcPr>
          <w:p w14:paraId="16CFBAF7" w14:textId="77777777" w:rsidR="00D26A81" w:rsidRDefault="00000000">
            <w:pPr>
              <w:spacing w:before="100"/>
              <w:jc w:val="center"/>
            </w:pPr>
            <w:r>
              <w:rPr>
                <w:b/>
                <w:bCs/>
              </w:rPr>
              <w:t>EXTERNAL SOURCES</w:t>
            </w:r>
          </w:p>
          <w:p w14:paraId="3A445F3C" w14:textId="77777777" w:rsidR="00D26A81" w:rsidRDefault="00000000">
            <w:pPr>
              <w:jc w:val="center"/>
            </w:pPr>
            <w:r>
              <w:rPr>
                <w:sz w:val="18"/>
                <w:szCs w:val="18"/>
              </w:rPr>
              <w:t>NDMAs | AMHEWAS | GDACS | VOSOCC | MET Services | Partners</w:t>
            </w:r>
          </w:p>
          <w:p w14:paraId="6C0661E7" w14:textId="77777777" w:rsidR="00D26A81" w:rsidRDefault="00000000">
            <w:pPr>
              <w:spacing w:after="100"/>
              <w:jc w:val="center"/>
            </w:pPr>
            <w:r>
              <w:rPr>
                <w:b/>
                <w:bCs/>
                <w:sz w:val="24"/>
                <w:szCs w:val="24"/>
              </w:rPr>
              <w:t>↓ ↓ ↓ ↓ ↓ ↓</w:t>
            </w:r>
          </w:p>
        </w:tc>
      </w:tr>
      <w:tr w:rsidR="000B1B5F" w14:paraId="01629C54" w14:textId="77777777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8F5E9"/>
          </w:tcPr>
          <w:p w14:paraId="6F072D52" w14:textId="77777777" w:rsidR="00D26A81" w:rsidRDefault="00000000">
            <w:pPr>
              <w:spacing w:before="100" w:after="100"/>
              <w:jc w:val="center"/>
            </w:pPr>
            <w:r>
              <w:rPr>
                <w:b/>
                <w:bCs/>
              </w:rPr>
              <w:t>INGESTION LAYER: Data Receipt → Validation → Classification</w:t>
            </w:r>
          </w:p>
        </w:tc>
      </w:tr>
      <w:tr w:rsidR="000B1B5F" w14:paraId="064303FC" w14:textId="77777777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D6E3F0"/>
          </w:tcPr>
          <w:p w14:paraId="3F13E775" w14:textId="77777777" w:rsidR="00D26A81" w:rsidRDefault="00000000">
            <w:pPr>
              <w:spacing w:before="100"/>
              <w:jc w:val="center"/>
            </w:pPr>
            <w:r>
              <w:rPr>
                <w:b/>
                <w:bCs/>
                <w:color w:val="1F4E79"/>
              </w:rPr>
              <w:t>DRMIMS CENTRAL REPOSITORY</w:t>
            </w:r>
          </w:p>
          <w:p w14:paraId="79A33C08" w14:textId="77777777" w:rsidR="00D26A81" w:rsidRDefault="00000000">
            <w:pPr>
              <w:spacing w:after="100"/>
              <w:jc w:val="center"/>
            </w:pPr>
            <w:r>
              <w:rPr>
                <w:sz w:val="18"/>
                <w:szCs w:val="18"/>
              </w:rPr>
              <w:t>Primary Storage | Cloud Replication | Satellite Buffer</w:t>
            </w:r>
          </w:p>
        </w:tc>
      </w:tr>
      <w:tr w:rsidR="000B1B5F" w14:paraId="373E7454" w14:textId="77777777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FFF9E6"/>
          </w:tcPr>
          <w:p w14:paraId="53FC7E70" w14:textId="77777777" w:rsidR="00D26A81" w:rsidRDefault="00000000">
            <w:pPr>
              <w:spacing w:before="100"/>
              <w:jc w:val="center"/>
            </w:pPr>
            <w:r>
              <w:rPr>
                <w:b/>
                <w:bCs/>
              </w:rPr>
              <w:t>INTERNAL FUNCTIONAL UNITS</w:t>
            </w:r>
          </w:p>
          <w:p w14:paraId="188B68C1" w14:textId="77777777" w:rsidR="00D26A81" w:rsidRDefault="00000000">
            <w:pPr>
              <w:spacing w:after="100"/>
              <w:jc w:val="center"/>
            </w:pPr>
            <w:r>
              <w:rPr>
                <w:sz w:val="18"/>
                <w:szCs w:val="18"/>
              </w:rPr>
              <w:t>Finance (SOP 1) | EW (SOP 2) | Comms (SOP 3) | Ops (SOP 4) | HR (SOP 5) | ICT/IM (SOP 6) | Security (SOP 7) | SCM (SOP 8)</w:t>
            </w:r>
          </w:p>
        </w:tc>
      </w:tr>
      <w:tr w:rsidR="000B1B5F" w14:paraId="3FB9AED8" w14:textId="77777777">
        <w:tc>
          <w:tcPr>
            <w:tcW w:w="0" w:type="auto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8F5E9"/>
          </w:tcPr>
          <w:p w14:paraId="7201878A" w14:textId="77777777" w:rsidR="00D26A81" w:rsidRDefault="00000000">
            <w:pPr>
              <w:spacing w:before="100" w:after="100"/>
              <w:jc w:val="center"/>
            </w:pPr>
            <w:r>
              <w:rPr>
                <w:b/>
                <w:bCs/>
              </w:rPr>
              <w:t>OUTPUT LAYER: Dashboards → SITREPs → Alerts → Partner Sharing</w:t>
            </w:r>
          </w:p>
        </w:tc>
      </w:tr>
    </w:tbl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