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SADC HUMANITARIAN AND EMERGENCY OPERATIONS CENTRE (SHOC)</w:t>
      </w:r>
    </w:p>
    <w:p>
      <w:pPr>
        <w:pBdr>
          <w:bottom w:val="single" w:color="2E75B6" w:sz="6" w:space="1"/>
        </w:pBd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EARLY WARNING AND MONITORING SYSTEMS</w:t>
      </w: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Annex 2.4-D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After-Action Review Template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Purpose: Standardised template for conducting After-Action Reviews following SHOC anticipatory action activations or advisory cycles.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Benchmark: IFRC Forecast-based Action Learning Framework; OCHA AA Framework; UNDAC Handbook 8th Ed. §C.3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AAR Reference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[SHOC-AAR-YYYY-MM-DD-###]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Event Name / Code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[Event designation]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Hazard Type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[Tropical Cyclone / Flood / Drought / Epidemic / Other]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AAR Date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Facilitator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[Name / Position]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Participants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[Names and positions of all participants]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Period Under Review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 to [DD MMM YYYY]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Related SHOC Products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[List Advisory, SitRep, Watch references issued]</w:t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Review Questions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400"/>
        <w:gridCol w:w="3980"/>
      </w:tblGrid>
      <w:tr>
        <w:tc>
          <w:tcPr>
            <w:tcW w:type="dxa" w:w="7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39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Findings</w:t>
            </w:r>
          </w:p>
        </w:tc>
      </w:tr>
      <w:tr>
        <w:tc>
          <w:tcPr>
            <w:tcW w:type="dxa" w:w="7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Were EW data sources adequate and timely?</w:t>
            </w:r>
          </w:p>
        </w:tc>
        <w:tc>
          <w:tcPr>
            <w:tcW w:type="dxa" w:w="39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Were thresholds calibrated correctly (Annex 2.3-B)?</w:t>
            </w:r>
          </w:p>
        </w:tc>
        <w:tc>
          <w:tcPr>
            <w:tcW w:type="dxa" w:w="39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Was the advisory issued with sufficient lead time?</w:t>
            </w:r>
          </w:p>
        </w:tc>
        <w:tc>
          <w:tcPr>
            <w:tcW w:type="dxa" w:w="39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Did all NDMAs confirm receipt within required timeframes?</w:t>
            </w:r>
          </w:p>
        </w:tc>
        <w:tc>
          <w:tcPr>
            <w:tcW w:type="dxa" w:w="39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5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Were anticipatory actions triggered at the right time?</w:t>
            </w:r>
          </w:p>
        </w:tc>
        <w:tc>
          <w:tcPr>
            <w:tcW w:type="dxa" w:w="39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5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Were pre-positioned resources adequate and accessible?</w:t>
            </w:r>
          </w:p>
        </w:tc>
        <w:tc>
          <w:tcPr>
            <w:tcW w:type="dxa" w:w="39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5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Did cross-SOP coordination function effectively?</w:t>
            </w:r>
          </w:p>
        </w:tc>
        <w:tc>
          <w:tcPr>
            <w:tcW w:type="dxa" w:w="39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5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Were there communication gaps or system failures?</w:t>
            </w:r>
          </w:p>
        </w:tc>
        <w:tc>
          <w:tcPr>
            <w:tcW w:type="dxa" w:w="39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5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What worked well that should be replicated?</w:t>
            </w:r>
          </w:p>
        </w:tc>
        <w:tc>
          <w:tcPr>
            <w:tcW w:type="dxa" w:w="39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5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What should be improved for future events?</w:t>
            </w:r>
          </w:p>
        </w:tc>
        <w:tc>
          <w:tcPr>
            <w:tcW w:type="dxa" w:w="39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Recommendations and Action Items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2200"/>
        <w:gridCol w:w="1800"/>
        <w:gridCol w:w="1580"/>
      </w:tblGrid>
      <w:tr>
        <w:tc>
          <w:tcPr>
            <w:tcW w:type="dxa" w:w="7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Responsible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  <w:tc>
          <w:tcPr>
            <w:tcW w:type="dxa" w:w="15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Open</w:t>
            </w:r>
          </w:p>
        </w:tc>
      </w:tr>
      <w:tr>
        <w:tc>
          <w:tcPr>
            <w:tcW w:type="dxa" w:w="7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Open</w:t>
            </w:r>
          </w:p>
        </w:tc>
      </w:tr>
      <w:tr>
        <w:tc>
          <w:tcPr>
            <w:tcW w:type="dxa" w:w="7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Open</w:t>
            </w:r>
          </w:p>
        </w:tc>
      </w:tr>
      <w:tr>
        <w:tc>
          <w:tcPr>
            <w:tcW w:type="dxa" w:w="7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Open</w:t>
            </w:r>
          </w:p>
        </w:tc>
      </w:tr>
      <w:tr>
        <w:tc>
          <w:tcPr>
            <w:tcW w:type="dxa" w:w="7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Open</w:t>
            </w:r>
          </w:p>
        </w:tc>
      </w:tr>
    </w:tbl>
    <w:p>
      <w:pPr>
        <w:spacing w:after="120"/>
      </w:pPr>
    </w:p>
    <w:p>
      <w:pPr>
        <w:spacing w:before="400"/>
      </w:pPr>
    </w:p>
    <w:p>
      <w:pPr>
        <w:pBdr>
          <w:top w:val="single" w:color="2E75B6" w:sz="2" w:space="1"/>
        </w:pBdr>
        <w:spacing w:before="100"/>
      </w:pPr>
      <w:r>
        <w:rPr>
          <w:rFonts w:ascii="Arial" w:cs="Arial" w:eastAsia="Arial" w:hAnsi="Arial"/>
          <w:color w:val="666666"/>
          <w:sz w:val="15"/>
          <w:szCs w:val="15"/>
        </w:rPr>
        <w:t xml:space="preserve">Version 3.3 | Effective: 01 April 2026 | Next Review: 31 December 2027</w:t>
      </w:r>
    </w:p>
    <w:sectPr>
      <w:head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4"/>
        <w:szCs w:val="14"/>
      </w:rPr>
      <w:t xml:space="preserve">SHOC EW&amp;M | Annex 2.4-D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2026-03-26T16:55:01.484Z</dcterms:created>
  <dcterms:modified xsi:type="dcterms:W3CDTF">2026-03-26T16:55:01.484Z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