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C75" w14:textId="77777777" w:rsidR="00970BBD" w:rsidRDefault="003E79B6">
      <w:pPr>
        <w:pStyle w:val="Heading1"/>
        <w:pageBreakBefore/>
      </w:pPr>
      <w:bookmarkStart w:id="94" w:name="_heading=h.y8e1izut65r3" w:colFirst="0" w:colLast="0"/>
      <w:bookmarkStart w:id="95" w:name="_Toc224798255"/>
      <w:bookmarkEnd w:id="94"/>
      <w:r>
        <w:lastRenderedPageBreak/>
        <w:t>Annex 8.2-H: Asset Lifecycle Management Framework</w:t>
      </w:r>
      <w:bookmarkEnd w:id="95"/>
    </w:p>
    <w:p w14:paraId="00000C76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Defines lifecycle stages, triggers, and required actions for asset management (Step 1.3).</w:t>
      </w:r>
    </w:p>
    <w:p w14:paraId="00000C77" w14:textId="77777777" w:rsidR="00970BBD" w:rsidRDefault="00000000">
      <w:pPr>
        <w:spacing w:before="200" w:after="200"/>
        <w:jc w:val="center"/>
      </w:pPr>
      <w:sdt>
        <w:sdtPr>
          <w:tag w:val="goog_rdk_457"/>
          <w:id w:val="-4631252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Lifecycle Stage Flow: ACQUISITION → CURRENT → AGING → LEGACY → OBSOLETE → DISPOSAL</w:t>
          </w:r>
        </w:sdtContent>
      </w:sdt>
    </w:p>
    <w:tbl>
      <w:tblPr>
        <w:tblStyle w:val="12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599"/>
        <w:gridCol w:w="3000"/>
        <w:gridCol w:w="2646"/>
      </w:tblGrid>
      <w:tr w:rsidR="00970BBD" w14:paraId="6F7BA78F" w14:textId="77777777">
        <w:trPr>
          <w:tblHeader/>
        </w:trPr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/ Criteria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Actions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970BBD" w14:paraId="75D80AB0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ACQUISITION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New asset received via GRN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Register in ERP; apply tags; assign location; baseline condition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7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 Officer [17]</w:t>
            </w:r>
          </w:p>
        </w:tc>
      </w:tr>
      <w:tr w:rsidR="00970BBD" w14:paraId="7C1EF7CC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Within warranty; vendor support active; &lt;80% of expected life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Standard maintenance; normal operations; periodic testing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Asset custodian</w:t>
            </w:r>
          </w:p>
        </w:tc>
      </w:tr>
      <w:tr w:rsidR="00970BBD" w14:paraId="4B1542AC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AGING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80-100% of expected life; 12 months to EOL; warranty expiring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Budget for replacement; identify successor; increase monitoring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09AB9A2D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LEGACY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Past EOL but operational; no vendor support; maintenance &gt;50% replacement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Priority replacement; risk acceptance by Head of Ops; enhanced monitoring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Head of Ops [3]</w:t>
            </w:r>
          </w:p>
        </w:tc>
      </w:tr>
      <w:tr w:rsidR="00970BBD" w14:paraId="17467416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OBSOLETE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Non-functional; incompatible; security risk; uneconomical to repair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Immediate disposal; emergency procurement if critical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8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ED [1] approval</w:t>
            </w:r>
          </w:p>
        </w:tc>
      </w:tr>
      <w:tr w:rsidR="00970BBD" w14:paraId="04E02B44" w14:textId="77777777">
        <w:tc>
          <w:tcPr>
            <w:tcW w:w="1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DISPOSAL</w:t>
            </w:r>
          </w:p>
        </w:tc>
        <w:tc>
          <w:tcPr>
            <w:tcW w:w="2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Disposal Board approval; method determined; Ex-Ante review completed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Execute disposal; remove from register; financial accounting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</w:tbl>
    <w:p w14:paraId="00000C94" w14:textId="77777777" w:rsidR="00970BBD" w:rsidRDefault="003E79B6">
      <w:pPr>
        <w:pStyle w:val="Heading2"/>
      </w:pPr>
      <w:bookmarkStart w:id="96" w:name="_Toc224798256"/>
      <w:r>
        <w:rPr>
          <w:color w:val="1B3A5C"/>
        </w:rPr>
        <w:t>Expected Useful Life by Category</w:t>
      </w:r>
      <w:bookmarkEnd w:id="96"/>
    </w:p>
    <w:tbl>
      <w:tblPr>
        <w:tblStyle w:val="12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2000"/>
        <w:gridCol w:w="2500"/>
        <w:gridCol w:w="2446"/>
      </w:tblGrid>
      <w:tr w:rsidR="00970BBD" w14:paraId="26E876D1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 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Life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Depreciation Method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 Frequency</w:t>
            </w:r>
          </w:p>
        </w:tc>
      </w:tr>
      <w:tr w:rsidR="00970BBD" w14:paraId="3F2302B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CAT-1: ERT Field Equipment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3–5 years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Straight-line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Annually</w:t>
            </w:r>
          </w:p>
        </w:tc>
      </w:tr>
      <w:tr w:rsidR="00970BBD" w14:paraId="3D2C420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CAT-2: ETK (Satellite equipment)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5–7 years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9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Straight-line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Annually</w:t>
            </w:r>
          </w:p>
        </w:tc>
      </w:tr>
      <w:tr w:rsidR="00970BBD" w14:paraId="65EE0A0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CAT-3: ICT Infrastructure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3–5 years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Straight-line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Bi-annually</w:t>
            </w:r>
          </w:p>
        </w:tc>
      </w:tr>
      <w:tr w:rsidR="00970BBD" w14:paraId="7804195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CAT-4: Vehicles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5–8 years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Reducing balance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Annually</w:t>
            </w:r>
          </w:p>
        </w:tc>
      </w:tr>
      <w:tr w:rsidR="00970BBD" w14:paraId="504E0F0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CAT-5: Office Equipment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5–10 years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Straight-line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Bi-annually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