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D3C" w14:textId="77777777" w:rsidR="00970BBD" w:rsidRDefault="003E79B6">
      <w:pPr>
        <w:pStyle w:val="Heading1"/>
        <w:pageBreakBefore/>
      </w:pPr>
      <w:bookmarkStart w:id="105" w:name="_heading=h.bzuckee5nh3f" w:colFirst="0" w:colLast="0"/>
      <w:bookmarkStart w:id="106" w:name="_Toc224798263"/>
      <w:bookmarkEnd w:id="105"/>
      <w:r>
        <w:lastRenderedPageBreak/>
        <w:t>Annex 8.2-K: Three-Party Coordination Model</w:t>
      </w:r>
      <w:bookmarkEnd w:id="106"/>
    </w:p>
    <w:p w14:paraId="00000D3D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Defines the coordination framework between Requesting Party, SHOC, and Assisting Entity for relief supply operations (Section 3.1, Step 4.3).</w:t>
      </w:r>
    </w:p>
    <w:p w14:paraId="00000D3E" w14:textId="77777777" w:rsidR="00970BBD" w:rsidRDefault="003E79B6">
      <w:pPr>
        <w:pStyle w:val="Heading2"/>
      </w:pPr>
      <w:bookmarkStart w:id="107" w:name="_Toc224798264"/>
      <w:r>
        <w:rPr>
          <w:color w:val="1B3A5C"/>
        </w:rPr>
        <w:t>Coordination Parties</w:t>
      </w:r>
      <w:bookmarkEnd w:id="107"/>
    </w:p>
    <w:tbl>
      <w:tblPr>
        <w:tblStyle w:val="11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000"/>
        <w:gridCol w:w="3946"/>
      </w:tblGrid>
      <w:tr w:rsidR="00970BBD" w14:paraId="46E41F3A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970BBD" w14:paraId="388EBEC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2" w14:textId="77777777" w:rsidR="00970BBD" w:rsidRDefault="003E79B6">
            <w:pPr>
              <w:spacing w:before="40" w:after="40"/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①</w:t>
            </w:r>
            <w:r>
              <w:rPr>
                <w:color w:val="000000"/>
                <w:sz w:val="20"/>
                <w:szCs w:val="20"/>
              </w:rPr>
              <w:t xml:space="preserve"> REQUESTING PARTY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Affected SADC Member State requiring humanitarian assistance, acting through its National Disaster Risk Management Entity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NDMA, Civil Protection Unit, DRM Directorate, OSSHOC (field operations)</w:t>
            </w:r>
          </w:p>
        </w:tc>
      </w:tr>
      <w:tr w:rsidR="00970BBD" w14:paraId="57398F7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5" w14:textId="77777777" w:rsidR="00970BBD" w:rsidRDefault="003E79B6">
            <w:pPr>
              <w:spacing w:before="40" w:after="40"/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②</w:t>
            </w:r>
            <w:r>
              <w:rPr>
                <w:color w:val="000000"/>
                <w:sz w:val="20"/>
                <w:szCs w:val="20"/>
              </w:rPr>
              <w:t xml:space="preserve"> SHOC (Coordinator)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SADC Humanitarian and Emergency Operations Centre — the regional coordination mechanism that validates, sources, coordinates, tracks, and reports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ED [1], Head of Ops [3], SCM Officer [7], Logistics Officer [17]</w:t>
            </w:r>
          </w:p>
        </w:tc>
      </w:tr>
      <w:tr w:rsidR="00970BBD" w14:paraId="5640AFE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8" w14:textId="77777777" w:rsidR="00970BBD" w:rsidRDefault="003E79B6">
            <w:pPr>
              <w:spacing w:before="40" w:after="40"/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③</w:t>
            </w:r>
            <w:r>
              <w:rPr>
                <w:color w:val="000000"/>
                <w:sz w:val="20"/>
                <w:szCs w:val="20"/>
              </w:rPr>
              <w:t xml:space="preserve"> ASSISTING ENTITY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Resource providers that supply equipment, commodities, or services in response to coordinated requests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UNHRD [Tier 1 Strategic Partner], WFP Regional, IFRC RLU, Other Member States, ICPs/Donors, BHA [Tier 1 Strategic Partner]</w:t>
            </w:r>
          </w:p>
        </w:tc>
      </w:tr>
    </w:tbl>
    <w:p w14:paraId="00000D4B" w14:textId="77777777" w:rsidR="00970BBD" w:rsidRDefault="003E79B6">
      <w:pPr>
        <w:pStyle w:val="Heading2"/>
      </w:pPr>
      <w:bookmarkStart w:id="108" w:name="_Toc224798265"/>
      <w:r>
        <w:rPr>
          <w:color w:val="1B3A5C"/>
        </w:rPr>
        <w:t>Step-by-Step Flow</w:t>
      </w:r>
      <w:bookmarkEnd w:id="108"/>
    </w:p>
    <w:tbl>
      <w:tblPr>
        <w:tblStyle w:val="11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2200"/>
        <w:gridCol w:w="3400"/>
        <w:gridCol w:w="3346"/>
      </w:tblGrid>
      <w:tr w:rsidR="00970BBD" w14:paraId="0AA90032" w14:textId="77777777"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4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970BBD" w14:paraId="1079386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0" w14:textId="77777777" w:rsidR="00970BBD" w:rsidRDefault="003E79B6">
            <w:pPr>
              <w:spacing w:before="40" w:after="40"/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①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Assistance Request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2" w14:textId="77777777" w:rsidR="00970BBD" w:rsidRDefault="00000000">
            <w:pPr>
              <w:spacing w:before="40" w:after="40"/>
            </w:pPr>
            <w:sdt>
              <w:sdtPr>
                <w:tag w:val="goog_rdk_503"/>
                <w:id w:val="-5375456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Requesting Party → SHOC</w:t>
                </w:r>
              </w:sdtContent>
            </w:sdt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Validated Request Form</w:t>
            </w:r>
          </w:p>
        </w:tc>
      </w:tr>
      <w:tr w:rsidR="00970BBD" w14:paraId="1574E69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4" w14:textId="77777777" w:rsidR="00970BBD" w:rsidRDefault="003E79B6">
            <w:pPr>
              <w:spacing w:before="40" w:after="40"/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②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Dispatch Request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6" w14:textId="77777777" w:rsidR="00970BBD" w:rsidRDefault="00000000">
            <w:pPr>
              <w:spacing w:before="40" w:after="40"/>
            </w:pPr>
            <w:sdt>
              <w:sdtPr>
                <w:tag w:val="goog_rdk_504"/>
                <w:id w:val="-18036856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SHOC → Assisting Entity</w:t>
                </w:r>
              </w:sdtContent>
            </w:sdt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Dispatch Request (Step 4.3)</w:t>
            </w:r>
          </w:p>
        </w:tc>
      </w:tr>
      <w:tr w:rsidR="00970BBD" w14:paraId="40BFD4C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8" w14:textId="77777777" w:rsidR="00970BBD" w:rsidRDefault="003E79B6">
            <w:pPr>
              <w:spacing w:before="40" w:after="40"/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③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Resource Provision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A" w14:textId="77777777" w:rsidR="00970BBD" w:rsidRDefault="00000000">
            <w:pPr>
              <w:spacing w:before="40" w:after="40"/>
            </w:pPr>
            <w:sdt>
              <w:sdtPr>
                <w:tag w:val="goog_rdk_505"/>
                <w:id w:val="-20644666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Assisting Entity → SHOC Coordination</w:t>
                </w:r>
              </w:sdtContent>
            </w:sdt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Consignment Note</w:t>
            </w:r>
          </w:p>
        </w:tc>
      </w:tr>
      <w:tr w:rsidR="00970BBD" w14:paraId="1A53860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C" w14:textId="77777777" w:rsidR="00970BBD" w:rsidRDefault="003E79B6">
            <w:pPr>
              <w:spacing w:before="40" w:after="40"/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④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Coordinated Delivery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E" w14:textId="77777777" w:rsidR="00970BBD" w:rsidRDefault="00000000">
            <w:pPr>
              <w:spacing w:before="40" w:after="40"/>
            </w:pPr>
            <w:sdt>
              <w:sdtPr>
                <w:tag w:val="goog_rdk_506"/>
                <w:id w:val="-7408744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SHOC → Requesting Party (OSSHOC)</w:t>
                </w:r>
              </w:sdtContent>
            </w:sdt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5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GRN, Distribution Plan</w:t>
            </w:r>
          </w:p>
        </w:tc>
      </w:tr>
      <w:tr w:rsidR="00970BBD" w14:paraId="114A88C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0" w14:textId="77777777" w:rsidR="00970BBD" w:rsidRDefault="003E79B6">
            <w:pPr>
              <w:spacing w:before="40" w:after="40"/>
            </w:pPr>
            <w:r>
              <w:rPr>
                <w:rFonts w:ascii="Cambria Math" w:eastAsia="Cambria Math" w:hAnsi="Cambria Math" w:cs="Cambria Math"/>
                <w:color w:val="000000"/>
                <w:sz w:val="20"/>
                <w:szCs w:val="20"/>
              </w:rPr>
              <w:t>⑤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Accountability Reporting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2" w14:textId="77777777" w:rsidR="00970BBD" w:rsidRDefault="00000000">
            <w:pPr>
              <w:spacing w:before="40" w:after="40"/>
            </w:pPr>
            <w:sdt>
              <w:sdtPr>
                <w:tag w:val="goog_rdk_507"/>
                <w:id w:val="-19122009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Requesting Party → SHOC → Assisting Entity</w:t>
                </w:r>
              </w:sdtContent>
            </w:sdt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Accountability Report</w:t>
            </w:r>
          </w:p>
        </w:tc>
      </w:tr>
    </w:tbl>
    <w:p w14:paraId="00000D64" w14:textId="77777777" w:rsidR="00970BBD" w:rsidRDefault="003E79B6">
      <w:pPr>
        <w:pageBreakBefore/>
        <w:pBdr>
          <w:bottom w:val="single" w:sz="6" w:space="8" w:color="00796B"/>
        </w:pBdr>
        <w:spacing w:before="600" w:after="200"/>
        <w:jc w:val="center"/>
      </w:pPr>
      <w:r>
        <w:rPr>
          <w:b/>
          <w:bCs/>
          <w:color w:val="1B3A5C"/>
          <w:sz w:val="32"/>
          <w:szCs w:val="32"/>
        </w:rPr>
        <w:lastRenderedPageBreak/>
        <w:t>SOP 8.3 ANNEXES: SUPPLIER MANAGEMENT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