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E43" w14:textId="77777777" w:rsidR="00970BBD" w:rsidRDefault="003E79B6">
      <w:pPr>
        <w:pStyle w:val="Heading1"/>
        <w:pageBreakBefore/>
      </w:pPr>
      <w:bookmarkStart w:id="123" w:name="_heading=h.orwunrh9ynco" w:colFirst="0" w:colLast="0"/>
      <w:bookmarkStart w:id="124" w:name="_Toc224798277"/>
      <w:bookmarkEnd w:id="123"/>
      <w:r>
        <w:lastRenderedPageBreak/>
        <w:t>Annex 8.3-D: Supplier Performance Scorecard (SADC 7.2.2)</w:t>
      </w:r>
      <w:bookmarkEnd w:id="124"/>
    </w:p>
    <w:p w14:paraId="00000E44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Purpose: </w:t>
      </w:r>
      <w:r>
        <w:rPr>
          <w:color w:val="000000"/>
        </w:rPr>
        <w:t>Structured quarterly and end-of-contract performance assessment of suppliers on the SHOC Economic Operator Database, aligned with SADC Procurement Guidelines Section 7.2 and the SADC 5-point evaluation methodology.</w:t>
      </w:r>
    </w:p>
    <w:p w14:paraId="00000E45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Reference: </w:t>
      </w:r>
      <w:r>
        <w:rPr>
          <w:color w:val="000000"/>
        </w:rPr>
        <w:t>SADC Procurement Guidelines 7.2.2 │ SOP Section 6.4 │ Output: SPE-SCORE-01</w:t>
      </w:r>
    </w:p>
    <w:tbl>
      <w:tblPr>
        <w:tblStyle w:val="105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3510"/>
        <w:gridCol w:w="3510"/>
      </w:tblGrid>
      <w:tr w:rsidR="00970BBD" w14:paraId="071EF1EA" w14:textId="77777777">
        <w:tc>
          <w:tcPr>
            <w:tcW w:w="2340" w:type="dxa"/>
            <w:shd w:val="clear" w:color="auto" w:fill="D5E8F0"/>
          </w:tcPr>
          <w:p w14:paraId="00000E46" w14:textId="77777777" w:rsidR="00970BBD" w:rsidRDefault="003E79B6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3510" w:type="dxa"/>
            <w:shd w:val="clear" w:color="auto" w:fill="D5E8F0"/>
          </w:tcPr>
          <w:p w14:paraId="00000E47" w14:textId="77777777" w:rsidR="00970BBD" w:rsidRDefault="003E79B6">
            <w:r>
              <w:rPr>
                <w:b/>
                <w:bCs/>
                <w:sz w:val="20"/>
                <w:szCs w:val="20"/>
              </w:rPr>
              <w:t>Criterion</w:t>
            </w:r>
          </w:p>
        </w:tc>
        <w:tc>
          <w:tcPr>
            <w:tcW w:w="3510" w:type="dxa"/>
            <w:shd w:val="clear" w:color="auto" w:fill="D5E8F0"/>
          </w:tcPr>
          <w:p w14:paraId="00000E48" w14:textId="77777777" w:rsidR="00970BBD" w:rsidRDefault="003E79B6">
            <w:r>
              <w:rPr>
                <w:b/>
                <w:bCs/>
                <w:sz w:val="20"/>
                <w:szCs w:val="20"/>
              </w:rPr>
              <w:t>Measurement</w:t>
            </w:r>
          </w:p>
        </w:tc>
      </w:tr>
      <w:tr w:rsidR="00970BBD" w14:paraId="4933650A" w14:textId="77777777">
        <w:tc>
          <w:tcPr>
            <w:tcW w:w="2340" w:type="dxa"/>
          </w:tcPr>
          <w:p w14:paraId="00000E49" w14:textId="77777777" w:rsidR="00970BBD" w:rsidRDefault="003E79B6">
            <w:r>
              <w:rPr>
                <w:sz w:val="20"/>
                <w:szCs w:val="20"/>
              </w:rPr>
              <w:t>Contract Compliance (25%)</w:t>
            </w:r>
          </w:p>
        </w:tc>
        <w:tc>
          <w:tcPr>
            <w:tcW w:w="3510" w:type="dxa"/>
          </w:tcPr>
          <w:p w14:paraId="00000E4A" w14:textId="77777777" w:rsidR="00970BBD" w:rsidRDefault="003E79B6">
            <w:r>
              <w:rPr>
                <w:sz w:val="20"/>
                <w:szCs w:val="20"/>
              </w:rPr>
              <w:t>Adherence to contract terms, specifications, quantities</w:t>
            </w:r>
          </w:p>
        </w:tc>
        <w:tc>
          <w:tcPr>
            <w:tcW w:w="3510" w:type="dxa"/>
          </w:tcPr>
          <w:p w14:paraId="00000E4B" w14:textId="77777777" w:rsidR="00970BBD" w:rsidRDefault="003E79B6">
            <w:r>
              <w:rPr>
                <w:sz w:val="20"/>
                <w:szCs w:val="20"/>
              </w:rPr>
              <w:t>5 = Full compliance; 1 = Material breach</w:t>
            </w:r>
          </w:p>
        </w:tc>
      </w:tr>
      <w:tr w:rsidR="00970BBD" w14:paraId="53B811F7" w14:textId="77777777">
        <w:tc>
          <w:tcPr>
            <w:tcW w:w="2340" w:type="dxa"/>
          </w:tcPr>
          <w:p w14:paraId="00000E4C" w14:textId="77777777" w:rsidR="00970BBD" w:rsidRDefault="003E79B6">
            <w:r>
              <w:rPr>
                <w:sz w:val="20"/>
                <w:szCs w:val="20"/>
              </w:rPr>
              <w:t>Delivery Performance (20%)</w:t>
            </w:r>
          </w:p>
        </w:tc>
        <w:tc>
          <w:tcPr>
            <w:tcW w:w="3510" w:type="dxa"/>
          </w:tcPr>
          <w:p w14:paraId="00000E4D" w14:textId="77777777" w:rsidR="00970BBD" w:rsidRDefault="003E79B6">
            <w:r>
              <w:rPr>
                <w:sz w:val="20"/>
                <w:szCs w:val="20"/>
              </w:rPr>
              <w:t>On-time delivery against agreed schedule</w:t>
            </w:r>
          </w:p>
        </w:tc>
        <w:tc>
          <w:tcPr>
            <w:tcW w:w="3510" w:type="dxa"/>
          </w:tcPr>
          <w:p w14:paraId="00000E4E" w14:textId="77777777" w:rsidR="00970BBD" w:rsidRDefault="003E79B6">
            <w:r>
              <w:rPr>
                <w:sz w:val="20"/>
                <w:szCs w:val="20"/>
              </w:rPr>
              <w:t>5 = 100% on-time; 1 = &gt;30 days late</w:t>
            </w:r>
          </w:p>
        </w:tc>
      </w:tr>
      <w:tr w:rsidR="00970BBD" w14:paraId="579608B2" w14:textId="77777777">
        <w:tc>
          <w:tcPr>
            <w:tcW w:w="2340" w:type="dxa"/>
          </w:tcPr>
          <w:p w14:paraId="00000E4F" w14:textId="77777777" w:rsidR="00970BBD" w:rsidRDefault="003E79B6">
            <w:r>
              <w:rPr>
                <w:sz w:val="20"/>
                <w:szCs w:val="20"/>
              </w:rPr>
              <w:t>Quality Assurance (20%)</w:t>
            </w:r>
          </w:p>
        </w:tc>
        <w:tc>
          <w:tcPr>
            <w:tcW w:w="3510" w:type="dxa"/>
          </w:tcPr>
          <w:p w14:paraId="00000E50" w14:textId="77777777" w:rsidR="00970BBD" w:rsidRDefault="003E79B6">
            <w:r>
              <w:rPr>
                <w:sz w:val="20"/>
                <w:szCs w:val="20"/>
              </w:rPr>
              <w:t>Product/service conformance to specifications; defect rate</w:t>
            </w:r>
          </w:p>
        </w:tc>
        <w:tc>
          <w:tcPr>
            <w:tcW w:w="3510" w:type="dxa"/>
          </w:tcPr>
          <w:p w14:paraId="00000E51" w14:textId="77777777" w:rsidR="00970BBD" w:rsidRDefault="003E79B6">
            <w:r>
              <w:rPr>
                <w:sz w:val="20"/>
                <w:szCs w:val="20"/>
              </w:rPr>
              <w:t>5 = Zero defects; 1 = &gt;10% rejection</w:t>
            </w:r>
          </w:p>
        </w:tc>
      </w:tr>
      <w:tr w:rsidR="00970BBD" w14:paraId="31D877F2" w14:textId="77777777">
        <w:tc>
          <w:tcPr>
            <w:tcW w:w="2340" w:type="dxa"/>
          </w:tcPr>
          <w:p w14:paraId="00000E52" w14:textId="77777777" w:rsidR="00970BBD" w:rsidRDefault="003E79B6">
            <w:r>
              <w:rPr>
                <w:sz w:val="20"/>
                <w:szCs w:val="20"/>
              </w:rPr>
              <w:t>Responsiveness (15%)</w:t>
            </w:r>
          </w:p>
        </w:tc>
        <w:tc>
          <w:tcPr>
            <w:tcW w:w="3510" w:type="dxa"/>
          </w:tcPr>
          <w:p w14:paraId="00000E53" w14:textId="77777777" w:rsidR="00970BBD" w:rsidRDefault="003E79B6">
            <w:r>
              <w:rPr>
                <w:sz w:val="20"/>
                <w:szCs w:val="20"/>
              </w:rPr>
              <w:t>Communication, issue resolution, cooperation</w:t>
            </w:r>
          </w:p>
        </w:tc>
        <w:tc>
          <w:tcPr>
            <w:tcW w:w="3510" w:type="dxa"/>
          </w:tcPr>
          <w:p w14:paraId="00000E54" w14:textId="77777777" w:rsidR="00970BBD" w:rsidRDefault="003E79B6">
            <w:r>
              <w:rPr>
                <w:sz w:val="20"/>
                <w:szCs w:val="20"/>
              </w:rPr>
              <w:t>5 = Proactive; 1 = Unresponsive</w:t>
            </w:r>
          </w:p>
        </w:tc>
      </w:tr>
      <w:tr w:rsidR="00970BBD" w14:paraId="587E4C3D" w14:textId="77777777">
        <w:tc>
          <w:tcPr>
            <w:tcW w:w="2340" w:type="dxa"/>
          </w:tcPr>
          <w:p w14:paraId="00000E55" w14:textId="77777777" w:rsidR="00970BBD" w:rsidRDefault="003E79B6">
            <w:r>
              <w:rPr>
                <w:sz w:val="20"/>
                <w:szCs w:val="20"/>
              </w:rPr>
              <w:t>Documentation (10%)</w:t>
            </w:r>
          </w:p>
        </w:tc>
        <w:tc>
          <w:tcPr>
            <w:tcW w:w="3510" w:type="dxa"/>
          </w:tcPr>
          <w:p w14:paraId="00000E56" w14:textId="77777777" w:rsidR="00970BBD" w:rsidRDefault="003E79B6">
            <w:r>
              <w:rPr>
                <w:sz w:val="20"/>
                <w:szCs w:val="20"/>
              </w:rPr>
              <w:t>Invoice accuracy, GRN alignment, certificate provision</w:t>
            </w:r>
          </w:p>
        </w:tc>
        <w:tc>
          <w:tcPr>
            <w:tcW w:w="3510" w:type="dxa"/>
          </w:tcPr>
          <w:p w14:paraId="00000E57" w14:textId="77777777" w:rsidR="00970BBD" w:rsidRDefault="003E79B6">
            <w:r>
              <w:rPr>
                <w:sz w:val="20"/>
                <w:szCs w:val="20"/>
              </w:rPr>
              <w:t>5 = Complete; 1 = Persistent errors</w:t>
            </w:r>
          </w:p>
        </w:tc>
      </w:tr>
      <w:tr w:rsidR="00970BBD" w14:paraId="003FAB63" w14:textId="77777777">
        <w:tc>
          <w:tcPr>
            <w:tcW w:w="2340" w:type="dxa"/>
          </w:tcPr>
          <w:p w14:paraId="00000E58" w14:textId="77777777" w:rsidR="00970BBD" w:rsidRDefault="003E79B6">
            <w:r>
              <w:rPr>
                <w:sz w:val="20"/>
                <w:szCs w:val="20"/>
              </w:rPr>
              <w:t>Value for Money (10%)</w:t>
            </w:r>
          </w:p>
        </w:tc>
        <w:tc>
          <w:tcPr>
            <w:tcW w:w="3510" w:type="dxa"/>
          </w:tcPr>
          <w:p w14:paraId="00000E59" w14:textId="77777777" w:rsidR="00970BBD" w:rsidRDefault="003E79B6">
            <w:r>
              <w:rPr>
                <w:sz w:val="20"/>
                <w:szCs w:val="20"/>
              </w:rPr>
              <w:t>Price stability, cost transparency, no hidden charges</w:t>
            </w:r>
          </w:p>
        </w:tc>
        <w:tc>
          <w:tcPr>
            <w:tcW w:w="3510" w:type="dxa"/>
          </w:tcPr>
          <w:p w14:paraId="00000E5A" w14:textId="77777777" w:rsidR="00970BBD" w:rsidRDefault="003E79B6">
            <w:r>
              <w:rPr>
                <w:sz w:val="20"/>
                <w:szCs w:val="20"/>
              </w:rPr>
              <w:t>5 = Consistently competitive; 1 = Excessive variation</w:t>
            </w:r>
          </w:p>
        </w:tc>
      </w:tr>
    </w:tbl>
    <w:p w14:paraId="00000E5B" w14:textId="77777777" w:rsidR="00970BBD" w:rsidRDefault="003E79B6">
      <w:pPr>
        <w:pStyle w:val="Heading2"/>
      </w:pPr>
      <w:bookmarkStart w:id="125" w:name="_Toc224798278"/>
      <w:r>
        <w:t>Scoring Thresholds</w:t>
      </w:r>
      <w:bookmarkEnd w:id="125"/>
    </w:p>
    <w:tbl>
      <w:tblPr>
        <w:tblStyle w:val="104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970BBD" w14:paraId="259EA5AC" w14:textId="77777777">
        <w:tc>
          <w:tcPr>
            <w:tcW w:w="2340" w:type="dxa"/>
            <w:shd w:val="clear" w:color="auto" w:fill="D5E8F0"/>
          </w:tcPr>
          <w:p w14:paraId="00000E5C" w14:textId="77777777" w:rsidR="00970BBD" w:rsidRDefault="003E79B6">
            <w:r>
              <w:rPr>
                <w:b/>
                <w:bCs/>
                <w:sz w:val="20"/>
                <w:szCs w:val="20"/>
              </w:rPr>
              <w:t>Score Range</w:t>
            </w:r>
          </w:p>
        </w:tc>
        <w:tc>
          <w:tcPr>
            <w:tcW w:w="2340" w:type="dxa"/>
            <w:shd w:val="clear" w:color="auto" w:fill="D5E8F0"/>
          </w:tcPr>
          <w:p w14:paraId="00000E5D" w14:textId="77777777" w:rsidR="00970BBD" w:rsidRDefault="003E79B6">
            <w:r>
              <w:rPr>
                <w:b/>
                <w:bCs/>
                <w:sz w:val="20"/>
                <w:szCs w:val="20"/>
              </w:rPr>
              <w:t>Rating</w:t>
            </w:r>
          </w:p>
        </w:tc>
        <w:tc>
          <w:tcPr>
            <w:tcW w:w="2340" w:type="dxa"/>
            <w:shd w:val="clear" w:color="auto" w:fill="D5E8F0"/>
          </w:tcPr>
          <w:p w14:paraId="00000E5E" w14:textId="77777777" w:rsidR="00970BBD" w:rsidRDefault="003E79B6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340" w:type="dxa"/>
            <w:shd w:val="clear" w:color="auto" w:fill="D5E8F0"/>
          </w:tcPr>
          <w:p w14:paraId="00000E5F" w14:textId="77777777" w:rsidR="00970BBD" w:rsidRDefault="003E79B6">
            <w:r>
              <w:rPr>
                <w:b/>
                <w:bCs/>
                <w:sz w:val="20"/>
                <w:szCs w:val="20"/>
              </w:rPr>
              <w:t>Database Status</w:t>
            </w:r>
          </w:p>
        </w:tc>
      </w:tr>
      <w:tr w:rsidR="00970BBD" w14:paraId="52466D82" w14:textId="77777777">
        <w:tc>
          <w:tcPr>
            <w:tcW w:w="2340" w:type="dxa"/>
          </w:tcPr>
          <w:p w14:paraId="00000E60" w14:textId="77777777" w:rsidR="00970BBD" w:rsidRDefault="003E79B6">
            <w:r>
              <w:rPr>
                <w:sz w:val="20"/>
                <w:szCs w:val="20"/>
              </w:rPr>
              <w:t>25–30</w:t>
            </w:r>
          </w:p>
        </w:tc>
        <w:tc>
          <w:tcPr>
            <w:tcW w:w="2340" w:type="dxa"/>
          </w:tcPr>
          <w:p w14:paraId="00000E61" w14:textId="77777777" w:rsidR="00970BBD" w:rsidRDefault="003E79B6">
            <w:r>
              <w:rPr>
                <w:sz w:val="20"/>
                <w:szCs w:val="20"/>
              </w:rPr>
              <w:t>Excellent (A)</w:t>
            </w:r>
          </w:p>
        </w:tc>
        <w:tc>
          <w:tcPr>
            <w:tcW w:w="2340" w:type="dxa"/>
          </w:tcPr>
          <w:p w14:paraId="00000E62" w14:textId="77777777" w:rsidR="00970BBD" w:rsidRDefault="003E79B6">
            <w:r>
              <w:rPr>
                <w:sz w:val="20"/>
                <w:szCs w:val="20"/>
              </w:rPr>
              <w:t>Preferred supplier; extend framework</w:t>
            </w:r>
          </w:p>
        </w:tc>
        <w:tc>
          <w:tcPr>
            <w:tcW w:w="2340" w:type="dxa"/>
          </w:tcPr>
          <w:p w14:paraId="00000E63" w14:textId="77777777" w:rsidR="00970BBD" w:rsidRDefault="003E79B6">
            <w:r>
              <w:rPr>
                <w:sz w:val="20"/>
                <w:szCs w:val="20"/>
              </w:rPr>
              <w:t>Green — Priority</w:t>
            </w:r>
          </w:p>
        </w:tc>
      </w:tr>
      <w:tr w:rsidR="00970BBD" w14:paraId="72E3FB07" w14:textId="77777777">
        <w:tc>
          <w:tcPr>
            <w:tcW w:w="2340" w:type="dxa"/>
          </w:tcPr>
          <w:p w14:paraId="00000E64" w14:textId="77777777" w:rsidR="00970BBD" w:rsidRDefault="003E79B6">
            <w:r>
              <w:rPr>
                <w:sz w:val="20"/>
                <w:szCs w:val="20"/>
              </w:rPr>
              <w:t>18–24</w:t>
            </w:r>
          </w:p>
        </w:tc>
        <w:tc>
          <w:tcPr>
            <w:tcW w:w="2340" w:type="dxa"/>
          </w:tcPr>
          <w:p w14:paraId="00000E65" w14:textId="77777777" w:rsidR="00970BBD" w:rsidRDefault="003E79B6">
            <w:r>
              <w:rPr>
                <w:sz w:val="20"/>
                <w:szCs w:val="20"/>
              </w:rPr>
              <w:t>Satisfactory (B)</w:t>
            </w:r>
          </w:p>
        </w:tc>
        <w:tc>
          <w:tcPr>
            <w:tcW w:w="2340" w:type="dxa"/>
          </w:tcPr>
          <w:p w14:paraId="00000E66" w14:textId="77777777" w:rsidR="00970BBD" w:rsidRDefault="003E79B6">
            <w:r>
              <w:rPr>
                <w:sz w:val="20"/>
                <w:szCs w:val="20"/>
              </w:rPr>
              <w:t>Maintain; monitor improvement areas</w:t>
            </w:r>
          </w:p>
        </w:tc>
        <w:tc>
          <w:tcPr>
            <w:tcW w:w="2340" w:type="dxa"/>
          </w:tcPr>
          <w:p w14:paraId="00000E67" w14:textId="77777777" w:rsidR="00970BBD" w:rsidRDefault="003E79B6">
            <w:r>
              <w:rPr>
                <w:sz w:val="20"/>
                <w:szCs w:val="20"/>
              </w:rPr>
              <w:t>Green — Standard</w:t>
            </w:r>
          </w:p>
        </w:tc>
      </w:tr>
      <w:tr w:rsidR="00970BBD" w14:paraId="2F221D7A" w14:textId="77777777">
        <w:tc>
          <w:tcPr>
            <w:tcW w:w="2340" w:type="dxa"/>
          </w:tcPr>
          <w:p w14:paraId="00000E68" w14:textId="77777777" w:rsidR="00970BBD" w:rsidRDefault="003E79B6">
            <w:r>
              <w:rPr>
                <w:sz w:val="20"/>
                <w:szCs w:val="20"/>
              </w:rPr>
              <w:t>12–17</w:t>
            </w:r>
          </w:p>
        </w:tc>
        <w:tc>
          <w:tcPr>
            <w:tcW w:w="2340" w:type="dxa"/>
          </w:tcPr>
          <w:p w14:paraId="00000E69" w14:textId="77777777" w:rsidR="00970BBD" w:rsidRDefault="003E79B6">
            <w:r>
              <w:rPr>
                <w:sz w:val="20"/>
                <w:szCs w:val="20"/>
              </w:rPr>
              <w:t>Marginal (C)</w:t>
            </w:r>
          </w:p>
        </w:tc>
        <w:tc>
          <w:tcPr>
            <w:tcW w:w="2340" w:type="dxa"/>
          </w:tcPr>
          <w:p w14:paraId="00000E6A" w14:textId="77777777" w:rsidR="00970BBD" w:rsidRDefault="003E79B6">
            <w:r>
              <w:rPr>
                <w:sz w:val="20"/>
                <w:szCs w:val="20"/>
              </w:rPr>
              <w:t>Supplier Improvement Plan required (</w:t>
            </w:r>
            <w:hyperlink w:anchor="_heading=h.192186pyc08n">
              <w:r>
                <w:rPr>
                  <w:color w:val="0563C1"/>
                  <w:sz w:val="20"/>
                  <w:szCs w:val="20"/>
                  <w:u w:val="single"/>
                </w:rPr>
                <w:t>8.3-H</w:t>
              </w:r>
            </w:hyperlink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</w:tcPr>
          <w:p w14:paraId="00000E6B" w14:textId="77777777" w:rsidR="00970BBD" w:rsidRDefault="003E79B6">
            <w:r>
              <w:rPr>
                <w:sz w:val="20"/>
                <w:szCs w:val="20"/>
              </w:rPr>
              <w:t>Amber — Watch</w:t>
            </w:r>
          </w:p>
        </w:tc>
      </w:tr>
      <w:tr w:rsidR="00970BBD" w14:paraId="4AD19461" w14:textId="77777777">
        <w:tc>
          <w:tcPr>
            <w:tcW w:w="2340" w:type="dxa"/>
          </w:tcPr>
          <w:p w14:paraId="00000E6C" w14:textId="77777777" w:rsidR="00970BBD" w:rsidRDefault="003E79B6">
            <w:r>
              <w:rPr>
                <w:sz w:val="20"/>
                <w:szCs w:val="20"/>
              </w:rPr>
              <w:t>6–11</w:t>
            </w:r>
          </w:p>
        </w:tc>
        <w:tc>
          <w:tcPr>
            <w:tcW w:w="2340" w:type="dxa"/>
          </w:tcPr>
          <w:p w14:paraId="00000E6D" w14:textId="77777777" w:rsidR="00970BBD" w:rsidRDefault="003E79B6">
            <w:r>
              <w:rPr>
                <w:sz w:val="20"/>
                <w:szCs w:val="20"/>
              </w:rPr>
              <w:t>Unsatisfactory (D)</w:t>
            </w:r>
          </w:p>
        </w:tc>
        <w:tc>
          <w:tcPr>
            <w:tcW w:w="2340" w:type="dxa"/>
          </w:tcPr>
          <w:p w14:paraId="00000E6E" w14:textId="77777777" w:rsidR="00970BBD" w:rsidRDefault="003E79B6">
            <w:r>
              <w:rPr>
                <w:sz w:val="20"/>
                <w:szCs w:val="20"/>
              </w:rPr>
              <w:t>Suspend from new awards; remedial action</w:t>
            </w:r>
          </w:p>
        </w:tc>
        <w:tc>
          <w:tcPr>
            <w:tcW w:w="2340" w:type="dxa"/>
          </w:tcPr>
          <w:p w14:paraId="00000E6F" w14:textId="77777777" w:rsidR="00970BBD" w:rsidRDefault="003E79B6">
            <w:r>
              <w:rPr>
                <w:sz w:val="20"/>
                <w:szCs w:val="20"/>
              </w:rPr>
              <w:t>Red — Suspended</w:t>
            </w:r>
          </w:p>
        </w:tc>
      </w:tr>
      <w:tr w:rsidR="00970BBD" w14:paraId="65363CE1" w14:textId="77777777">
        <w:tc>
          <w:tcPr>
            <w:tcW w:w="2340" w:type="dxa"/>
          </w:tcPr>
          <w:p w14:paraId="00000E70" w14:textId="77777777" w:rsidR="00970BBD" w:rsidRDefault="003E79B6">
            <w:r>
              <w:rPr>
                <w:sz w:val="20"/>
                <w:szCs w:val="20"/>
              </w:rPr>
              <w:t>&lt;6</w:t>
            </w:r>
          </w:p>
        </w:tc>
        <w:tc>
          <w:tcPr>
            <w:tcW w:w="2340" w:type="dxa"/>
          </w:tcPr>
          <w:p w14:paraId="00000E71" w14:textId="77777777" w:rsidR="00970BBD" w:rsidRDefault="003E79B6">
            <w:r>
              <w:rPr>
                <w:sz w:val="20"/>
                <w:szCs w:val="20"/>
              </w:rPr>
              <w:t>Critical (E)</w:t>
            </w:r>
          </w:p>
        </w:tc>
        <w:tc>
          <w:tcPr>
            <w:tcW w:w="2340" w:type="dxa"/>
          </w:tcPr>
          <w:p w14:paraId="00000E72" w14:textId="77777777" w:rsidR="00970BBD" w:rsidRDefault="003E79B6">
            <w:r>
              <w:rPr>
                <w:sz w:val="20"/>
                <w:szCs w:val="20"/>
              </w:rPr>
              <w:t>Debarment referral per SADC 5.4.3</w:t>
            </w:r>
          </w:p>
        </w:tc>
        <w:tc>
          <w:tcPr>
            <w:tcW w:w="2340" w:type="dxa"/>
          </w:tcPr>
          <w:p w14:paraId="00000E73" w14:textId="77777777" w:rsidR="00970BBD" w:rsidRDefault="003E79B6">
            <w:r>
              <w:rPr>
                <w:sz w:val="20"/>
                <w:szCs w:val="20"/>
              </w:rPr>
              <w:t>Removed</w:t>
            </w:r>
          </w:p>
        </w:tc>
      </w:tr>
    </w:tbl>
    <w:p w14:paraId="00000E74" w14:textId="77777777" w:rsidR="00970BBD" w:rsidRDefault="003E79B6">
      <w:pPr>
        <w:pStyle w:val="Heading2"/>
      </w:pPr>
      <w:bookmarkStart w:id="126" w:name="_Toc224798279"/>
      <w:r>
        <w:t>Evaluation Cycle</w:t>
      </w:r>
      <w:bookmarkEnd w:id="126"/>
    </w:p>
    <w:p w14:paraId="00000E75" w14:textId="77777777" w:rsidR="00970BBD" w:rsidRDefault="003E79B6">
      <w:pPr>
        <w:spacing w:before="80" w:after="80"/>
      </w:pPr>
      <w:r>
        <w:rPr>
          <w:color w:val="000000"/>
        </w:rPr>
        <w:t>Quarterly for active framework agreements; end-of-contract for all other procurements. Results recorded in ERP Supplier Module and feed Annual Supplier Review (</w:t>
      </w:r>
      <w:hyperlink w:anchor="_heading=h.3bi2gv8pby7b">
        <w:r>
          <w:rPr>
            <w:color w:val="0563C1"/>
            <w:u w:val="single"/>
          </w:rPr>
          <w:t>8.3-I</w:t>
        </w:r>
      </w:hyperlink>
      <w:r>
        <w:rPr>
          <w:color w:val="000000"/>
        </w:rPr>
        <w:t>). Scorecard history retained for minimum 5 years per SADC Schedule 2.</w:t>
      </w:r>
    </w:p>
    <w:tbl>
      <w:tblPr>
        <w:tblStyle w:val="103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970BBD" w14:paraId="6CCA764D" w14:textId="77777777">
        <w:tc>
          <w:tcPr>
            <w:tcW w:w="3120" w:type="dxa"/>
            <w:shd w:val="clear" w:color="auto" w:fill="D5E8F0"/>
          </w:tcPr>
          <w:p w14:paraId="00000E76" w14:textId="77777777" w:rsidR="00970BBD" w:rsidRDefault="003E79B6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120" w:type="dxa"/>
            <w:shd w:val="clear" w:color="auto" w:fill="D5E8F0"/>
          </w:tcPr>
          <w:p w14:paraId="00000E77" w14:textId="77777777" w:rsidR="00970BBD" w:rsidRDefault="003E79B6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3120" w:type="dxa"/>
            <w:shd w:val="clear" w:color="auto" w:fill="D5E8F0"/>
          </w:tcPr>
          <w:p w14:paraId="00000E78" w14:textId="77777777" w:rsidR="00970BBD" w:rsidRDefault="003E79B6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970BBD" w14:paraId="2E295DC3" w14:textId="77777777">
        <w:tc>
          <w:tcPr>
            <w:tcW w:w="3120" w:type="dxa"/>
          </w:tcPr>
          <w:p w14:paraId="00000E79" w14:textId="77777777" w:rsidR="00970BBD" w:rsidRDefault="003E79B6">
            <w:r>
              <w:rPr>
                <w:sz w:val="20"/>
                <w:szCs w:val="20"/>
              </w:rPr>
              <w:t>Prepared By:</w:t>
            </w:r>
          </w:p>
        </w:tc>
        <w:tc>
          <w:tcPr>
            <w:tcW w:w="3120" w:type="dxa"/>
          </w:tcPr>
          <w:p w14:paraId="00000E7A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0E7B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03FECA00" w14:textId="77777777">
        <w:tc>
          <w:tcPr>
            <w:tcW w:w="3120" w:type="dxa"/>
          </w:tcPr>
          <w:p w14:paraId="00000E7C" w14:textId="77777777" w:rsidR="00970BBD" w:rsidRDefault="003E79B6">
            <w:r>
              <w:rPr>
                <w:sz w:val="20"/>
                <w:szCs w:val="20"/>
              </w:rPr>
              <w:t>Reviewed By:</w:t>
            </w:r>
          </w:p>
        </w:tc>
        <w:tc>
          <w:tcPr>
            <w:tcW w:w="3120" w:type="dxa"/>
          </w:tcPr>
          <w:p w14:paraId="00000E7D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0E7E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60981267" w14:textId="77777777">
        <w:tc>
          <w:tcPr>
            <w:tcW w:w="3120" w:type="dxa"/>
          </w:tcPr>
          <w:p w14:paraId="00000E7F" w14:textId="77777777" w:rsidR="00970BBD" w:rsidRDefault="003E79B6">
            <w:r>
              <w:rPr>
                <w:sz w:val="20"/>
                <w:szCs w:val="20"/>
              </w:rPr>
              <w:t>Approved By:</w:t>
            </w:r>
          </w:p>
        </w:tc>
        <w:tc>
          <w:tcPr>
            <w:tcW w:w="3120" w:type="dxa"/>
          </w:tcPr>
          <w:p w14:paraId="00000E80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0E81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