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E82" w14:textId="77777777" w:rsidR="00970BBD" w:rsidRDefault="003E79B6">
      <w:pPr>
        <w:pStyle w:val="Heading1"/>
        <w:pageBreakBefore/>
      </w:pPr>
      <w:bookmarkStart w:id="127" w:name="_heading=h.26p4ovf0vtij" w:colFirst="0" w:colLast="0"/>
      <w:bookmarkStart w:id="128" w:name="_Toc224798280"/>
      <w:bookmarkEnd w:id="127"/>
      <w:r>
        <w:lastRenderedPageBreak/>
        <w:t>Annex 8.3-E: Supplier Risk Matrix</w:t>
      </w:r>
      <w:bookmarkEnd w:id="128"/>
    </w:p>
    <w:p w14:paraId="00000E83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Classify supplier risk to inform procurement strategy, framework activation priority, and monitoring intensity during emergency operations.</w:t>
      </w:r>
    </w:p>
    <w:p w14:paraId="00000E84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8.1 │ SADC 5.4 Eligibility/Exclusion │ Output: SRM-01</w:t>
      </w:r>
    </w:p>
    <w:p w14:paraId="00000E85" w14:textId="77777777" w:rsidR="00970BBD" w:rsidRDefault="003E79B6">
      <w:pPr>
        <w:pStyle w:val="Heading2"/>
      </w:pPr>
      <w:bookmarkStart w:id="129" w:name="_Toc224798281"/>
      <w:r>
        <w:t>Risk Assessment Dimensions</w:t>
      </w:r>
      <w:bookmarkEnd w:id="129"/>
    </w:p>
    <w:tbl>
      <w:tblPr>
        <w:tblStyle w:val="102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970BBD" w14:paraId="4506E04B" w14:textId="77777777">
        <w:tc>
          <w:tcPr>
            <w:tcW w:w="2340" w:type="dxa"/>
            <w:shd w:val="clear" w:color="auto" w:fill="D5E8F0"/>
          </w:tcPr>
          <w:p w14:paraId="00000E86" w14:textId="77777777" w:rsidR="00970BBD" w:rsidRDefault="003E79B6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340" w:type="dxa"/>
            <w:shd w:val="clear" w:color="auto" w:fill="D5E8F0"/>
          </w:tcPr>
          <w:p w14:paraId="00000E87" w14:textId="77777777" w:rsidR="00970BBD" w:rsidRDefault="003E79B6">
            <w:r>
              <w:rPr>
                <w:b/>
                <w:bCs/>
                <w:sz w:val="20"/>
                <w:szCs w:val="20"/>
              </w:rPr>
              <w:t>Low Risk (1)</w:t>
            </w:r>
          </w:p>
        </w:tc>
        <w:tc>
          <w:tcPr>
            <w:tcW w:w="2340" w:type="dxa"/>
            <w:shd w:val="clear" w:color="auto" w:fill="D5E8F0"/>
          </w:tcPr>
          <w:p w14:paraId="00000E88" w14:textId="77777777" w:rsidR="00970BBD" w:rsidRDefault="003E79B6">
            <w:r>
              <w:rPr>
                <w:b/>
                <w:bCs/>
                <w:sz w:val="20"/>
                <w:szCs w:val="20"/>
              </w:rPr>
              <w:t>Medium Risk (2)</w:t>
            </w:r>
          </w:p>
        </w:tc>
        <w:tc>
          <w:tcPr>
            <w:tcW w:w="2340" w:type="dxa"/>
            <w:shd w:val="clear" w:color="auto" w:fill="D5E8F0"/>
          </w:tcPr>
          <w:p w14:paraId="00000E89" w14:textId="77777777" w:rsidR="00970BBD" w:rsidRDefault="003E79B6">
            <w:r>
              <w:rPr>
                <w:b/>
                <w:bCs/>
                <w:sz w:val="20"/>
                <w:szCs w:val="20"/>
              </w:rPr>
              <w:t>High Risk (3)</w:t>
            </w:r>
          </w:p>
        </w:tc>
      </w:tr>
      <w:tr w:rsidR="00970BBD" w14:paraId="33D78626" w14:textId="77777777">
        <w:tc>
          <w:tcPr>
            <w:tcW w:w="2340" w:type="dxa"/>
          </w:tcPr>
          <w:p w14:paraId="00000E8A" w14:textId="77777777" w:rsidR="00970BBD" w:rsidRDefault="003E79B6">
            <w:r>
              <w:rPr>
                <w:sz w:val="20"/>
                <w:szCs w:val="20"/>
              </w:rPr>
              <w:t>Financial Stability</w:t>
            </w:r>
          </w:p>
        </w:tc>
        <w:tc>
          <w:tcPr>
            <w:tcW w:w="2340" w:type="dxa"/>
          </w:tcPr>
          <w:p w14:paraId="00000E8B" w14:textId="77777777" w:rsidR="00970BBD" w:rsidRDefault="003E79B6">
            <w:r>
              <w:rPr>
                <w:sz w:val="20"/>
                <w:szCs w:val="20"/>
              </w:rPr>
              <w:t>Strong balance sheet; audited accounts</w:t>
            </w:r>
          </w:p>
        </w:tc>
        <w:tc>
          <w:tcPr>
            <w:tcW w:w="2340" w:type="dxa"/>
          </w:tcPr>
          <w:p w14:paraId="00000E8C" w14:textId="77777777" w:rsidR="00970BBD" w:rsidRDefault="003E79B6">
            <w:r>
              <w:rPr>
                <w:sz w:val="20"/>
                <w:szCs w:val="20"/>
              </w:rPr>
              <w:t>Minor concerns; unaudited</w:t>
            </w:r>
          </w:p>
        </w:tc>
        <w:tc>
          <w:tcPr>
            <w:tcW w:w="2340" w:type="dxa"/>
          </w:tcPr>
          <w:p w14:paraId="00000E8D" w14:textId="77777777" w:rsidR="00970BBD" w:rsidRDefault="003E79B6">
            <w:r>
              <w:rPr>
                <w:sz w:val="20"/>
                <w:szCs w:val="20"/>
              </w:rPr>
              <w:t>Financial distress; insolvency risk</w:t>
            </w:r>
          </w:p>
        </w:tc>
      </w:tr>
      <w:tr w:rsidR="00970BBD" w14:paraId="6E421EAB" w14:textId="77777777">
        <w:tc>
          <w:tcPr>
            <w:tcW w:w="2340" w:type="dxa"/>
          </w:tcPr>
          <w:p w14:paraId="00000E8E" w14:textId="77777777" w:rsidR="00970BBD" w:rsidRDefault="003E79B6">
            <w:r>
              <w:rPr>
                <w:sz w:val="20"/>
                <w:szCs w:val="20"/>
              </w:rPr>
              <w:t>Delivery Reliability</w:t>
            </w:r>
          </w:p>
        </w:tc>
        <w:tc>
          <w:tcPr>
            <w:tcW w:w="2340" w:type="dxa"/>
          </w:tcPr>
          <w:p w14:paraId="00000E8F" w14:textId="77777777" w:rsidR="00970BBD" w:rsidRDefault="003E79B6">
            <w:r>
              <w:rPr>
                <w:sz w:val="20"/>
                <w:szCs w:val="20"/>
              </w:rPr>
              <w:t>Consistent on-time record</w:t>
            </w:r>
          </w:p>
        </w:tc>
        <w:tc>
          <w:tcPr>
            <w:tcW w:w="2340" w:type="dxa"/>
          </w:tcPr>
          <w:p w14:paraId="00000E90" w14:textId="77777777" w:rsidR="00970BBD" w:rsidRDefault="003E79B6">
            <w:r>
              <w:rPr>
                <w:sz w:val="20"/>
                <w:szCs w:val="20"/>
              </w:rPr>
              <w:t>Occasional delays (&lt;10%)</w:t>
            </w:r>
          </w:p>
        </w:tc>
        <w:tc>
          <w:tcPr>
            <w:tcW w:w="2340" w:type="dxa"/>
          </w:tcPr>
          <w:p w14:paraId="00000E91" w14:textId="77777777" w:rsidR="00970BBD" w:rsidRDefault="003E79B6">
            <w:r>
              <w:rPr>
                <w:sz w:val="20"/>
                <w:szCs w:val="20"/>
              </w:rPr>
              <w:t>Frequent delays (&gt;10%)</w:t>
            </w:r>
          </w:p>
        </w:tc>
      </w:tr>
      <w:tr w:rsidR="00970BBD" w14:paraId="799F6F2B" w14:textId="77777777">
        <w:tc>
          <w:tcPr>
            <w:tcW w:w="2340" w:type="dxa"/>
          </w:tcPr>
          <w:p w14:paraId="00000E92" w14:textId="77777777" w:rsidR="00970BBD" w:rsidRDefault="003E79B6">
            <w:r>
              <w:rPr>
                <w:sz w:val="20"/>
                <w:szCs w:val="20"/>
              </w:rPr>
              <w:t>Geographic Coverage</w:t>
            </w:r>
          </w:p>
        </w:tc>
        <w:tc>
          <w:tcPr>
            <w:tcW w:w="2340" w:type="dxa"/>
          </w:tcPr>
          <w:p w14:paraId="00000E93" w14:textId="77777777" w:rsidR="00970BBD" w:rsidRDefault="00000000">
            <w:sdt>
              <w:sdtPr>
                <w:tag w:val="goog_rdk_538"/>
                <w:id w:val="76306741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Presence in ≥5 SADC states</w:t>
                </w:r>
              </w:sdtContent>
            </w:sdt>
          </w:p>
        </w:tc>
        <w:tc>
          <w:tcPr>
            <w:tcW w:w="2340" w:type="dxa"/>
          </w:tcPr>
          <w:p w14:paraId="00000E94" w14:textId="77777777" w:rsidR="00970BBD" w:rsidRDefault="003E79B6">
            <w:r>
              <w:rPr>
                <w:sz w:val="20"/>
                <w:szCs w:val="20"/>
              </w:rPr>
              <w:t>2–4 SADC states</w:t>
            </w:r>
          </w:p>
        </w:tc>
        <w:tc>
          <w:tcPr>
            <w:tcW w:w="2340" w:type="dxa"/>
          </w:tcPr>
          <w:p w14:paraId="00000E95" w14:textId="77777777" w:rsidR="00970BBD" w:rsidRDefault="003E79B6">
            <w:r>
              <w:rPr>
                <w:sz w:val="20"/>
                <w:szCs w:val="20"/>
              </w:rPr>
              <w:t>Single country only</w:t>
            </w:r>
          </w:p>
        </w:tc>
      </w:tr>
      <w:tr w:rsidR="00970BBD" w14:paraId="7478B7C8" w14:textId="77777777">
        <w:tc>
          <w:tcPr>
            <w:tcW w:w="2340" w:type="dxa"/>
          </w:tcPr>
          <w:p w14:paraId="00000E96" w14:textId="77777777" w:rsidR="00970BBD" w:rsidRDefault="003E79B6">
            <w:r>
              <w:rPr>
                <w:sz w:val="20"/>
                <w:szCs w:val="20"/>
              </w:rPr>
              <w:t>Compliance History</w:t>
            </w:r>
          </w:p>
        </w:tc>
        <w:tc>
          <w:tcPr>
            <w:tcW w:w="2340" w:type="dxa"/>
          </w:tcPr>
          <w:p w14:paraId="00000E97" w14:textId="77777777" w:rsidR="00970BBD" w:rsidRDefault="003E79B6">
            <w:r>
              <w:rPr>
                <w:sz w:val="20"/>
                <w:szCs w:val="20"/>
              </w:rPr>
              <w:t>No adverse findings</w:t>
            </w:r>
          </w:p>
        </w:tc>
        <w:tc>
          <w:tcPr>
            <w:tcW w:w="2340" w:type="dxa"/>
          </w:tcPr>
          <w:p w14:paraId="00000E98" w14:textId="77777777" w:rsidR="00970BBD" w:rsidRDefault="003E79B6">
            <w:r>
              <w:rPr>
                <w:sz w:val="20"/>
                <w:szCs w:val="20"/>
              </w:rPr>
              <w:t>Minor non-compliance resolved</w:t>
            </w:r>
          </w:p>
        </w:tc>
        <w:tc>
          <w:tcPr>
            <w:tcW w:w="2340" w:type="dxa"/>
          </w:tcPr>
          <w:p w14:paraId="00000E99" w14:textId="77777777" w:rsidR="00970BBD" w:rsidRDefault="003E79B6">
            <w:r>
              <w:rPr>
                <w:sz w:val="20"/>
                <w:szCs w:val="20"/>
              </w:rPr>
              <w:t>Active sanctions or debarment</w:t>
            </w:r>
          </w:p>
        </w:tc>
      </w:tr>
      <w:tr w:rsidR="00970BBD" w14:paraId="562F7AE7" w14:textId="77777777">
        <w:tc>
          <w:tcPr>
            <w:tcW w:w="2340" w:type="dxa"/>
          </w:tcPr>
          <w:p w14:paraId="00000E9A" w14:textId="77777777" w:rsidR="00970BBD" w:rsidRDefault="003E79B6">
            <w:r>
              <w:rPr>
                <w:sz w:val="20"/>
                <w:szCs w:val="20"/>
              </w:rPr>
              <w:t>Supply Concentration</w:t>
            </w:r>
          </w:p>
        </w:tc>
        <w:tc>
          <w:tcPr>
            <w:tcW w:w="2340" w:type="dxa"/>
          </w:tcPr>
          <w:p w14:paraId="00000E9B" w14:textId="77777777" w:rsidR="00970BBD" w:rsidRDefault="003E79B6">
            <w:r>
              <w:rPr>
                <w:sz w:val="20"/>
                <w:szCs w:val="20"/>
              </w:rPr>
              <w:t>Multiple alternative suppliers</w:t>
            </w:r>
          </w:p>
        </w:tc>
        <w:tc>
          <w:tcPr>
            <w:tcW w:w="2340" w:type="dxa"/>
          </w:tcPr>
          <w:p w14:paraId="00000E9C" w14:textId="77777777" w:rsidR="00970BBD" w:rsidRDefault="003E79B6">
            <w:r>
              <w:rPr>
                <w:sz w:val="20"/>
                <w:szCs w:val="20"/>
              </w:rPr>
              <w:t>Limited alternatives (2–3)</w:t>
            </w:r>
          </w:p>
        </w:tc>
        <w:tc>
          <w:tcPr>
            <w:tcW w:w="2340" w:type="dxa"/>
          </w:tcPr>
          <w:p w14:paraId="00000E9D" w14:textId="77777777" w:rsidR="00970BBD" w:rsidRDefault="003E79B6">
            <w:r>
              <w:rPr>
                <w:sz w:val="20"/>
                <w:szCs w:val="20"/>
              </w:rPr>
              <w:t>Sole supplier for category</w:t>
            </w:r>
          </w:p>
        </w:tc>
      </w:tr>
      <w:tr w:rsidR="00970BBD" w14:paraId="768AC482" w14:textId="77777777">
        <w:tc>
          <w:tcPr>
            <w:tcW w:w="2340" w:type="dxa"/>
          </w:tcPr>
          <w:p w14:paraId="00000E9E" w14:textId="77777777" w:rsidR="00970BBD" w:rsidRDefault="003E79B6">
            <w:r>
              <w:rPr>
                <w:sz w:val="20"/>
                <w:szCs w:val="20"/>
              </w:rPr>
              <w:t>Capacity Scalability</w:t>
            </w:r>
          </w:p>
        </w:tc>
        <w:tc>
          <w:tcPr>
            <w:tcW w:w="2340" w:type="dxa"/>
          </w:tcPr>
          <w:p w14:paraId="00000E9F" w14:textId="77777777" w:rsidR="00970BBD" w:rsidRDefault="00000000">
            <w:sdt>
              <w:sdtPr>
                <w:tag w:val="goog_rdk_539"/>
                <w:id w:val="-20849196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Can scale ≥300% within 72h</w:t>
                </w:r>
              </w:sdtContent>
            </w:sdt>
          </w:p>
        </w:tc>
        <w:tc>
          <w:tcPr>
            <w:tcW w:w="2340" w:type="dxa"/>
          </w:tcPr>
          <w:p w14:paraId="00000EA0" w14:textId="77777777" w:rsidR="00970BBD" w:rsidRDefault="003E79B6">
            <w:r>
              <w:rPr>
                <w:sz w:val="20"/>
                <w:szCs w:val="20"/>
              </w:rPr>
              <w:t>Scale 100–300% within 72h</w:t>
            </w:r>
          </w:p>
        </w:tc>
        <w:tc>
          <w:tcPr>
            <w:tcW w:w="2340" w:type="dxa"/>
          </w:tcPr>
          <w:p w14:paraId="00000EA1" w14:textId="77777777" w:rsidR="00970BBD" w:rsidRDefault="003E79B6">
            <w:r>
              <w:rPr>
                <w:sz w:val="20"/>
                <w:szCs w:val="20"/>
              </w:rPr>
              <w:t>Cannot scale beyond baseline</w:t>
            </w:r>
          </w:p>
        </w:tc>
      </w:tr>
    </w:tbl>
    <w:p w14:paraId="00000EA2" w14:textId="77777777" w:rsidR="00970BBD" w:rsidRDefault="003E79B6">
      <w:pPr>
        <w:pStyle w:val="Heading2"/>
      </w:pPr>
      <w:bookmarkStart w:id="130" w:name="_Toc224798282"/>
      <w:r>
        <w:t>Risk Classification</w:t>
      </w:r>
      <w:bookmarkEnd w:id="130"/>
    </w:p>
    <w:tbl>
      <w:tblPr>
        <w:tblStyle w:val="101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780"/>
        <w:gridCol w:w="1560"/>
        <w:gridCol w:w="1560"/>
        <w:gridCol w:w="3120"/>
      </w:tblGrid>
      <w:tr w:rsidR="00970BBD" w14:paraId="44A1B234" w14:textId="77777777">
        <w:tc>
          <w:tcPr>
            <w:tcW w:w="2340" w:type="dxa"/>
            <w:shd w:val="clear" w:color="auto" w:fill="D5E8F0"/>
          </w:tcPr>
          <w:p w14:paraId="00000EA3" w14:textId="77777777" w:rsidR="00970BBD" w:rsidRDefault="003E79B6">
            <w:r>
              <w:rPr>
                <w:b/>
                <w:bCs/>
                <w:sz w:val="20"/>
                <w:szCs w:val="20"/>
              </w:rPr>
              <w:t>Total Score</w:t>
            </w:r>
          </w:p>
        </w:tc>
        <w:tc>
          <w:tcPr>
            <w:tcW w:w="2340" w:type="dxa"/>
            <w:gridSpan w:val="2"/>
            <w:shd w:val="clear" w:color="auto" w:fill="D5E8F0"/>
          </w:tcPr>
          <w:p w14:paraId="00000EA4" w14:textId="77777777" w:rsidR="00970BBD" w:rsidRDefault="003E79B6">
            <w:r>
              <w:rPr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4680" w:type="dxa"/>
            <w:gridSpan w:val="2"/>
            <w:shd w:val="clear" w:color="auto" w:fill="D5E8F0"/>
          </w:tcPr>
          <w:p w14:paraId="00000EA6" w14:textId="77777777" w:rsidR="00970BBD" w:rsidRDefault="003E79B6">
            <w:r>
              <w:rPr>
                <w:b/>
                <w:bCs/>
                <w:sz w:val="20"/>
                <w:szCs w:val="20"/>
              </w:rPr>
              <w:t>Monitoring Protocol</w:t>
            </w:r>
          </w:p>
        </w:tc>
      </w:tr>
      <w:tr w:rsidR="00970BBD" w14:paraId="0A3E3BDA" w14:textId="77777777">
        <w:tc>
          <w:tcPr>
            <w:tcW w:w="2340" w:type="dxa"/>
          </w:tcPr>
          <w:p w14:paraId="00000EA8" w14:textId="77777777" w:rsidR="00970BBD" w:rsidRDefault="003E79B6">
            <w:r>
              <w:rPr>
                <w:sz w:val="20"/>
                <w:szCs w:val="20"/>
              </w:rPr>
              <w:t>6–8</w:t>
            </w:r>
          </w:p>
        </w:tc>
        <w:tc>
          <w:tcPr>
            <w:tcW w:w="2340" w:type="dxa"/>
            <w:gridSpan w:val="2"/>
          </w:tcPr>
          <w:p w14:paraId="00000EA9" w14:textId="77777777" w:rsidR="00970BBD" w:rsidRDefault="003E79B6">
            <w:r>
              <w:rPr>
                <w:sz w:val="20"/>
                <w:szCs w:val="20"/>
              </w:rPr>
              <w:t>Low</w:t>
            </w:r>
          </w:p>
        </w:tc>
        <w:tc>
          <w:tcPr>
            <w:tcW w:w="4680" w:type="dxa"/>
            <w:gridSpan w:val="2"/>
          </w:tcPr>
          <w:p w14:paraId="00000EAB" w14:textId="77777777" w:rsidR="00970BBD" w:rsidRDefault="003E79B6">
            <w:r>
              <w:rPr>
                <w:sz w:val="20"/>
                <w:szCs w:val="20"/>
              </w:rPr>
              <w:t>Annual review; standard procurement procedures</w:t>
            </w:r>
          </w:p>
        </w:tc>
      </w:tr>
      <w:tr w:rsidR="00970BBD" w14:paraId="108ACE33" w14:textId="77777777">
        <w:tc>
          <w:tcPr>
            <w:tcW w:w="2340" w:type="dxa"/>
          </w:tcPr>
          <w:p w14:paraId="00000EAD" w14:textId="77777777" w:rsidR="00970BBD" w:rsidRDefault="003E79B6">
            <w:r>
              <w:rPr>
                <w:sz w:val="20"/>
                <w:szCs w:val="20"/>
              </w:rPr>
              <w:t>9–13</w:t>
            </w:r>
          </w:p>
        </w:tc>
        <w:tc>
          <w:tcPr>
            <w:tcW w:w="2340" w:type="dxa"/>
            <w:gridSpan w:val="2"/>
          </w:tcPr>
          <w:p w14:paraId="00000EAE" w14:textId="77777777" w:rsidR="00970BBD" w:rsidRDefault="003E79B6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680" w:type="dxa"/>
            <w:gridSpan w:val="2"/>
          </w:tcPr>
          <w:p w14:paraId="00000EB0" w14:textId="77777777" w:rsidR="00970BBD" w:rsidRDefault="003E79B6">
            <w:r>
              <w:rPr>
                <w:sz w:val="20"/>
                <w:szCs w:val="20"/>
              </w:rPr>
              <w:t>Quarterly review; secondary supplier identified</w:t>
            </w:r>
          </w:p>
        </w:tc>
      </w:tr>
      <w:tr w:rsidR="00970BBD" w14:paraId="38153040" w14:textId="77777777">
        <w:tc>
          <w:tcPr>
            <w:tcW w:w="2340" w:type="dxa"/>
          </w:tcPr>
          <w:p w14:paraId="00000EB2" w14:textId="77777777" w:rsidR="00970BBD" w:rsidRDefault="003E79B6">
            <w:r>
              <w:rPr>
                <w:sz w:val="20"/>
                <w:szCs w:val="20"/>
              </w:rPr>
              <w:t>14–18</w:t>
            </w:r>
          </w:p>
        </w:tc>
        <w:tc>
          <w:tcPr>
            <w:tcW w:w="2340" w:type="dxa"/>
            <w:gridSpan w:val="2"/>
          </w:tcPr>
          <w:p w14:paraId="00000EB3" w14:textId="77777777" w:rsidR="00970BBD" w:rsidRDefault="003E79B6">
            <w:r>
              <w:rPr>
                <w:sz w:val="20"/>
                <w:szCs w:val="20"/>
              </w:rPr>
              <w:t>High</w:t>
            </w:r>
          </w:p>
        </w:tc>
        <w:tc>
          <w:tcPr>
            <w:tcW w:w="4680" w:type="dxa"/>
            <w:gridSpan w:val="2"/>
          </w:tcPr>
          <w:p w14:paraId="00000EB5" w14:textId="77777777" w:rsidR="00970BBD" w:rsidRDefault="003E79B6">
            <w:r>
              <w:rPr>
                <w:sz w:val="20"/>
                <w:szCs w:val="20"/>
              </w:rPr>
              <w:t>Monthly monitoring; dual-sourcing mandatory; contingency plan required</w:t>
            </w:r>
          </w:p>
        </w:tc>
      </w:tr>
      <w:tr w:rsidR="00970BBD" w14:paraId="1FE8EA28" w14:textId="77777777">
        <w:tc>
          <w:tcPr>
            <w:tcW w:w="3120" w:type="dxa"/>
            <w:gridSpan w:val="2"/>
            <w:shd w:val="clear" w:color="auto" w:fill="D5E8F0"/>
          </w:tcPr>
          <w:p w14:paraId="00000EB7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0EB9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EBB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456BD161" w14:textId="77777777">
        <w:tc>
          <w:tcPr>
            <w:tcW w:w="3120" w:type="dxa"/>
            <w:gridSpan w:val="2"/>
          </w:tcPr>
          <w:p w14:paraId="00000EBC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0EB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C0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544C4FB4" w14:textId="77777777">
        <w:tc>
          <w:tcPr>
            <w:tcW w:w="3120" w:type="dxa"/>
            <w:gridSpan w:val="2"/>
          </w:tcPr>
          <w:p w14:paraId="00000EC1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0EC3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C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E9A8196" w14:textId="77777777">
        <w:tc>
          <w:tcPr>
            <w:tcW w:w="3120" w:type="dxa"/>
            <w:gridSpan w:val="2"/>
          </w:tcPr>
          <w:p w14:paraId="00000EC6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0EC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C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