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ECB" w14:textId="77777777" w:rsidR="00970BBD" w:rsidRDefault="003E79B6">
      <w:pPr>
        <w:pStyle w:val="Heading1"/>
        <w:pageBreakBefore/>
      </w:pPr>
      <w:bookmarkStart w:id="131" w:name="_heading=h.qfqjm0ubad80" w:colFirst="0" w:colLast="0"/>
      <w:bookmarkStart w:id="132" w:name="_Toc224798283"/>
      <w:bookmarkEnd w:id="131"/>
      <w:r>
        <w:lastRenderedPageBreak/>
        <w:t>Annex 8.3-F: Strategic Partner MOU Template</w:t>
      </w:r>
      <w:bookmarkEnd w:id="132"/>
    </w:p>
    <w:p w14:paraId="00000ECC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Formalise memorandum of understanding between SHOC and strategic humanitarian supply chain partners (UNHRD, WFP, IFRC, BHA, PIROI) for pre-positioned stock access, logistics coordination, and mutual support during SADC emergency operations.</w:t>
      </w:r>
    </w:p>
    <w:p w14:paraId="00000ECD" w14:textId="7107DE5C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2.3 │ LOGISTICS PORTAL Platform Integration │ Output: MOU-PARTNER-01</w:t>
      </w:r>
    </w:p>
    <w:p w14:paraId="00000ECE" w14:textId="77777777" w:rsidR="00970BBD" w:rsidRDefault="003E79B6">
      <w:pPr>
        <w:pStyle w:val="Heading2"/>
      </w:pPr>
      <w:bookmarkStart w:id="133" w:name="_Toc224798284"/>
      <w:r>
        <w:t>Parties</w:t>
      </w:r>
      <w:bookmarkEnd w:id="133"/>
    </w:p>
    <w:tbl>
      <w:tblPr>
        <w:tblStyle w:val="100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4680"/>
        <w:gridCol w:w="4680"/>
      </w:tblGrid>
      <w:tr w:rsidR="00970BBD" w14:paraId="586A1F1F" w14:textId="77777777">
        <w:tc>
          <w:tcPr>
            <w:tcW w:w="4680" w:type="dxa"/>
            <w:shd w:val="clear" w:color="auto" w:fill="D5E8F0"/>
          </w:tcPr>
          <w:p w14:paraId="00000ECF" w14:textId="77777777" w:rsidR="00970BBD" w:rsidRDefault="003E79B6">
            <w:r>
              <w:rPr>
                <w:b/>
                <w:bCs/>
                <w:sz w:val="20"/>
                <w:szCs w:val="20"/>
              </w:rPr>
              <w:t>SHOC (First Party)</w:t>
            </w:r>
          </w:p>
        </w:tc>
        <w:tc>
          <w:tcPr>
            <w:tcW w:w="4680" w:type="dxa"/>
            <w:shd w:val="clear" w:color="auto" w:fill="D5E8F0"/>
          </w:tcPr>
          <w:p w14:paraId="00000ED0" w14:textId="77777777" w:rsidR="00970BBD" w:rsidRDefault="003E79B6">
            <w:r>
              <w:rPr>
                <w:b/>
                <w:bCs/>
                <w:sz w:val="20"/>
                <w:szCs w:val="20"/>
              </w:rPr>
              <w:t>Partner Organisation (Second Party)</w:t>
            </w:r>
          </w:p>
        </w:tc>
      </w:tr>
      <w:tr w:rsidR="00970BBD" w14:paraId="7A38DAF9" w14:textId="77777777">
        <w:tc>
          <w:tcPr>
            <w:tcW w:w="4680" w:type="dxa"/>
          </w:tcPr>
          <w:p w14:paraId="00000ED1" w14:textId="77777777" w:rsidR="00970BBD" w:rsidRDefault="003E79B6">
            <w:r>
              <w:rPr>
                <w:sz w:val="20"/>
                <w:szCs w:val="20"/>
              </w:rPr>
              <w:t>Full Name: _______________</w:t>
            </w:r>
          </w:p>
        </w:tc>
        <w:tc>
          <w:tcPr>
            <w:tcW w:w="4680" w:type="dxa"/>
          </w:tcPr>
          <w:p w14:paraId="00000ED2" w14:textId="77777777" w:rsidR="00970BBD" w:rsidRDefault="003E79B6">
            <w:r>
              <w:rPr>
                <w:sz w:val="20"/>
                <w:szCs w:val="20"/>
              </w:rPr>
              <w:t>Full Name: _______________</w:t>
            </w:r>
          </w:p>
        </w:tc>
      </w:tr>
      <w:tr w:rsidR="00970BBD" w14:paraId="7235862E" w14:textId="77777777">
        <w:tc>
          <w:tcPr>
            <w:tcW w:w="4680" w:type="dxa"/>
          </w:tcPr>
          <w:p w14:paraId="00000ED3" w14:textId="77777777" w:rsidR="00970BBD" w:rsidRDefault="003E79B6">
            <w:r>
              <w:rPr>
                <w:sz w:val="20"/>
                <w:szCs w:val="20"/>
              </w:rPr>
              <w:t>Represented By: _______________</w:t>
            </w:r>
          </w:p>
        </w:tc>
        <w:tc>
          <w:tcPr>
            <w:tcW w:w="4680" w:type="dxa"/>
          </w:tcPr>
          <w:p w14:paraId="00000ED4" w14:textId="77777777" w:rsidR="00970BBD" w:rsidRDefault="003E79B6">
            <w:r>
              <w:rPr>
                <w:sz w:val="20"/>
                <w:szCs w:val="20"/>
              </w:rPr>
              <w:t>Represented By: _______________</w:t>
            </w:r>
          </w:p>
        </w:tc>
      </w:tr>
      <w:tr w:rsidR="00970BBD" w14:paraId="0A6978FE" w14:textId="77777777">
        <w:tc>
          <w:tcPr>
            <w:tcW w:w="4680" w:type="dxa"/>
          </w:tcPr>
          <w:p w14:paraId="00000ED5" w14:textId="77777777" w:rsidR="00970BBD" w:rsidRDefault="003E79B6">
            <w:r>
              <w:rPr>
                <w:sz w:val="20"/>
                <w:szCs w:val="20"/>
              </w:rPr>
              <w:t>Title: _______________</w:t>
            </w:r>
          </w:p>
        </w:tc>
        <w:tc>
          <w:tcPr>
            <w:tcW w:w="4680" w:type="dxa"/>
          </w:tcPr>
          <w:p w14:paraId="00000ED6" w14:textId="77777777" w:rsidR="00970BBD" w:rsidRDefault="003E79B6">
            <w:r>
              <w:rPr>
                <w:sz w:val="20"/>
                <w:szCs w:val="20"/>
              </w:rPr>
              <w:t>Title: _______________</w:t>
            </w:r>
          </w:p>
        </w:tc>
      </w:tr>
    </w:tbl>
    <w:p w14:paraId="00000ED7" w14:textId="77777777" w:rsidR="00970BBD" w:rsidRDefault="003E79B6">
      <w:pPr>
        <w:pStyle w:val="Heading2"/>
      </w:pPr>
      <w:bookmarkStart w:id="134" w:name="_Toc224798285"/>
      <w:r>
        <w:t>Scope of Cooperation</w:t>
      </w:r>
      <w:bookmarkEnd w:id="134"/>
    </w:p>
    <w:p w14:paraId="00000ED8" w14:textId="77777777" w:rsidR="00970BBD" w:rsidRDefault="003E79B6">
      <w:pPr>
        <w:spacing w:before="80" w:after="80"/>
      </w:pPr>
      <w:r>
        <w:rPr>
          <w:color w:val="000000"/>
        </w:rPr>
        <w:t>1. Pre-positioned stock access: Conditions, lead times, and replenishment obligations per UNDAC Handbook 8th Edition logistics protocols.</w:t>
      </w:r>
    </w:p>
    <w:p w14:paraId="00000ED9" w14:textId="77777777" w:rsidR="00970BBD" w:rsidRDefault="003E79B6">
      <w:pPr>
        <w:spacing w:before="80" w:after="80"/>
      </w:pPr>
      <w:r>
        <w:rPr>
          <w:color w:val="000000"/>
        </w:rPr>
        <w:t>2. Logistics coordination: Joint transport, warehousing, and last-mile delivery arrangements including humanitarian corridor access.</w:t>
      </w:r>
    </w:p>
    <w:p w14:paraId="00000EDA" w14:textId="3899F3E6" w:rsidR="00970BBD" w:rsidRDefault="003E79B6">
      <w:pPr>
        <w:spacing w:before="80" w:after="80"/>
      </w:pPr>
      <w:r>
        <w:rPr>
          <w:color w:val="000000"/>
        </w:rPr>
        <w:t>3. Information sharing: Real-time stock visibility via the Logistics Portal Platform; joint situation reporting; shared logistics capacity assessments.</w:t>
      </w:r>
    </w:p>
    <w:p w14:paraId="00000EDB" w14:textId="77777777" w:rsidR="00970BBD" w:rsidRDefault="003E79B6">
      <w:pPr>
        <w:spacing w:before="80" w:after="80"/>
      </w:pPr>
      <w:r>
        <w:rPr>
          <w:color w:val="000000"/>
        </w:rPr>
        <w:t>4. Capacity building: Joint training, simulation exercises (SIMEX), and after-action review participation.</w:t>
      </w:r>
    </w:p>
    <w:p w14:paraId="00000EDC" w14:textId="77777777" w:rsidR="00970BBD" w:rsidRDefault="003E79B6">
      <w:pPr>
        <w:pStyle w:val="Heading2"/>
      </w:pPr>
      <w:bookmarkStart w:id="135" w:name="_Toc224798286"/>
      <w:r>
        <w:t>Financial Arrangements</w:t>
      </w:r>
      <w:bookmarkEnd w:id="135"/>
    </w:p>
    <w:p w14:paraId="00000EDD" w14:textId="77777777" w:rsidR="00970BBD" w:rsidRDefault="003E79B6">
      <w:pPr>
        <w:spacing w:before="80" w:after="80"/>
      </w:pPr>
      <w:r>
        <w:rPr>
          <w:color w:val="000000"/>
        </w:rPr>
        <w:t>Cost-sharing model: □ Full cost recovery □ Partial subsidy □ In-kind contribution □ Gratis. Replenishment timeline: ___ days from stock dispatch. Payment terms aligned with SADC Financial Regulations.</w:t>
      </w:r>
    </w:p>
    <w:p w14:paraId="00000EDE" w14:textId="77777777" w:rsidR="00970BBD" w:rsidRDefault="003E79B6">
      <w:pPr>
        <w:pStyle w:val="Heading2"/>
      </w:pPr>
      <w:bookmarkStart w:id="136" w:name="_Toc224798287"/>
      <w:r>
        <w:t>Duration and Termination</w:t>
      </w:r>
      <w:bookmarkEnd w:id="136"/>
    </w:p>
    <w:p w14:paraId="00000EDF" w14:textId="77777777" w:rsidR="00970BBD" w:rsidRDefault="003E79B6">
      <w:pPr>
        <w:spacing w:before="80" w:after="80"/>
      </w:pPr>
      <w:r>
        <w:rPr>
          <w:color w:val="000000"/>
        </w:rPr>
        <w:t>Effective Date: _______________ │ Duration: ___ years │ Renewal: □ Automatic □ By mutual agreement. Either party may terminate with 90 days written notice. Obligations under active deployments survive termination.</w:t>
      </w:r>
    </w:p>
    <w:tbl>
      <w:tblPr>
        <w:tblStyle w:val="9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0B535981" w14:textId="77777777">
        <w:tc>
          <w:tcPr>
            <w:tcW w:w="3120" w:type="dxa"/>
            <w:shd w:val="clear" w:color="auto" w:fill="D5E8F0"/>
          </w:tcPr>
          <w:p w14:paraId="00000EE0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0EE1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0EE2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179D6A4E" w14:textId="77777777">
        <w:tc>
          <w:tcPr>
            <w:tcW w:w="3120" w:type="dxa"/>
          </w:tcPr>
          <w:p w14:paraId="00000EE3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0EE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E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D03EDE8" w14:textId="77777777">
        <w:tc>
          <w:tcPr>
            <w:tcW w:w="3120" w:type="dxa"/>
          </w:tcPr>
          <w:p w14:paraId="00000EE6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0EE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E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6ACAA044" w14:textId="77777777">
        <w:tc>
          <w:tcPr>
            <w:tcW w:w="3120" w:type="dxa"/>
          </w:tcPr>
          <w:p w14:paraId="00000EE9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0EE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0EE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