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F3E" w14:textId="77777777" w:rsidR="00970BBD" w:rsidRDefault="003E79B6">
      <w:pPr>
        <w:pStyle w:val="Heading1"/>
        <w:pageBreakBefore/>
      </w:pPr>
      <w:bookmarkStart w:id="141" w:name="_heading=h.192186pyc08n" w:colFirst="0" w:colLast="0"/>
      <w:bookmarkStart w:id="142" w:name="_Toc224798291"/>
      <w:bookmarkEnd w:id="141"/>
      <w:r>
        <w:lastRenderedPageBreak/>
        <w:t>Annex 8.3-H: Supplier Improvement Plan Template</w:t>
      </w:r>
      <w:bookmarkEnd w:id="142"/>
    </w:p>
    <w:p w14:paraId="00000F3F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Structured corrective action plan for suppliers scoring Marginal (C) or below on the Supplier Performance Scorecard (Annex 8.3-D), per SADC 7.2 continuous improvement obligations.</w:t>
      </w:r>
    </w:p>
    <w:p w14:paraId="00000F40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6.4 │ SADC 7.2 │ Output: SIP-01</w:t>
      </w:r>
    </w:p>
    <w:tbl>
      <w:tblPr>
        <w:tblStyle w:val="96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13955D46" w14:textId="77777777">
        <w:tc>
          <w:tcPr>
            <w:tcW w:w="3120" w:type="dxa"/>
            <w:shd w:val="clear" w:color="auto" w:fill="D5E8F0"/>
          </w:tcPr>
          <w:p w14:paraId="00000F41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0F42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64280E82" w14:textId="77777777">
        <w:tc>
          <w:tcPr>
            <w:tcW w:w="3120" w:type="dxa"/>
          </w:tcPr>
          <w:p w14:paraId="00000F43" w14:textId="77777777" w:rsidR="00970BBD" w:rsidRDefault="003E79B6">
            <w:r>
              <w:rPr>
                <w:sz w:val="20"/>
                <w:szCs w:val="20"/>
              </w:rPr>
              <w:t>Plan Reference</w:t>
            </w:r>
          </w:p>
        </w:tc>
        <w:tc>
          <w:tcPr>
            <w:tcW w:w="6240" w:type="dxa"/>
          </w:tcPr>
          <w:p w14:paraId="00000F44" w14:textId="77777777" w:rsidR="00970BBD" w:rsidRDefault="003E79B6">
            <w:r>
              <w:rPr>
                <w:sz w:val="20"/>
                <w:szCs w:val="20"/>
              </w:rPr>
              <w:t>SIP-[YEAR]-[SEQ]</w:t>
            </w:r>
          </w:p>
        </w:tc>
      </w:tr>
      <w:tr w:rsidR="00970BBD" w14:paraId="6FC18763" w14:textId="77777777">
        <w:tc>
          <w:tcPr>
            <w:tcW w:w="3120" w:type="dxa"/>
          </w:tcPr>
          <w:p w14:paraId="00000F45" w14:textId="77777777" w:rsidR="00970BBD" w:rsidRDefault="003E79B6">
            <w:r>
              <w:rPr>
                <w:sz w:val="20"/>
                <w:szCs w:val="20"/>
              </w:rPr>
              <w:t>Supplier Name</w:t>
            </w:r>
          </w:p>
        </w:tc>
        <w:tc>
          <w:tcPr>
            <w:tcW w:w="6240" w:type="dxa"/>
          </w:tcPr>
          <w:p w14:paraId="00000F46" w14:textId="77777777" w:rsidR="00970BBD" w:rsidRDefault="00970BBD"/>
        </w:tc>
      </w:tr>
      <w:tr w:rsidR="00970BBD" w14:paraId="6E73CBF6" w14:textId="77777777">
        <w:tc>
          <w:tcPr>
            <w:tcW w:w="3120" w:type="dxa"/>
          </w:tcPr>
          <w:p w14:paraId="00000F47" w14:textId="77777777" w:rsidR="00970BBD" w:rsidRDefault="003E79B6">
            <w:r>
              <w:rPr>
                <w:sz w:val="20"/>
                <w:szCs w:val="20"/>
              </w:rPr>
              <w:t>Supplier ID / Database Ref</w:t>
            </w:r>
          </w:p>
        </w:tc>
        <w:tc>
          <w:tcPr>
            <w:tcW w:w="6240" w:type="dxa"/>
          </w:tcPr>
          <w:p w14:paraId="00000F48" w14:textId="77777777" w:rsidR="00970BBD" w:rsidRDefault="00970BBD"/>
        </w:tc>
      </w:tr>
      <w:tr w:rsidR="00970BBD" w14:paraId="6B6484E4" w14:textId="77777777">
        <w:tc>
          <w:tcPr>
            <w:tcW w:w="3120" w:type="dxa"/>
          </w:tcPr>
          <w:p w14:paraId="00000F49" w14:textId="77777777" w:rsidR="00970BBD" w:rsidRDefault="003E79B6">
            <w:r>
              <w:rPr>
                <w:sz w:val="20"/>
                <w:szCs w:val="20"/>
              </w:rPr>
              <w:t>Contract/PO Reference</w:t>
            </w:r>
          </w:p>
        </w:tc>
        <w:tc>
          <w:tcPr>
            <w:tcW w:w="6240" w:type="dxa"/>
          </w:tcPr>
          <w:p w14:paraId="00000F4A" w14:textId="77777777" w:rsidR="00970BBD" w:rsidRDefault="00970BBD"/>
        </w:tc>
      </w:tr>
      <w:tr w:rsidR="00970BBD" w14:paraId="0A4B07A8" w14:textId="77777777">
        <w:tc>
          <w:tcPr>
            <w:tcW w:w="3120" w:type="dxa"/>
          </w:tcPr>
          <w:p w14:paraId="00000F4B" w14:textId="77777777" w:rsidR="00970BBD" w:rsidRDefault="003E79B6">
            <w:r>
              <w:rPr>
                <w:sz w:val="20"/>
                <w:szCs w:val="20"/>
              </w:rPr>
              <w:t>Scorecard Rating Triggering Plan</w:t>
            </w:r>
          </w:p>
        </w:tc>
        <w:tc>
          <w:tcPr>
            <w:tcW w:w="6240" w:type="dxa"/>
          </w:tcPr>
          <w:p w14:paraId="00000F4C" w14:textId="77777777" w:rsidR="00970BBD" w:rsidRDefault="003E79B6">
            <w:r>
              <w:rPr>
                <w:sz w:val="20"/>
                <w:szCs w:val="20"/>
              </w:rPr>
              <w:t>□ Marginal (C) □ Unsatisfactory (D)</w:t>
            </w:r>
          </w:p>
        </w:tc>
      </w:tr>
      <w:tr w:rsidR="00970BBD" w14:paraId="7B717000" w14:textId="77777777">
        <w:tc>
          <w:tcPr>
            <w:tcW w:w="3120" w:type="dxa"/>
          </w:tcPr>
          <w:p w14:paraId="00000F4D" w14:textId="77777777" w:rsidR="00970BBD" w:rsidRDefault="003E79B6">
            <w:r>
              <w:rPr>
                <w:sz w:val="20"/>
                <w:szCs w:val="20"/>
              </w:rPr>
              <w:t>Plan Duration</w:t>
            </w:r>
          </w:p>
        </w:tc>
        <w:tc>
          <w:tcPr>
            <w:tcW w:w="6240" w:type="dxa"/>
          </w:tcPr>
          <w:p w14:paraId="00000F4E" w14:textId="77777777" w:rsidR="00970BBD" w:rsidRDefault="003E79B6">
            <w:r>
              <w:rPr>
                <w:sz w:val="20"/>
                <w:szCs w:val="20"/>
              </w:rPr>
              <w:t>___ months (max 6 months)</w:t>
            </w:r>
          </w:p>
        </w:tc>
      </w:tr>
    </w:tbl>
    <w:p w14:paraId="00000F4F" w14:textId="77777777" w:rsidR="00970BBD" w:rsidRDefault="003E79B6">
      <w:pPr>
        <w:pStyle w:val="Heading2"/>
      </w:pPr>
      <w:bookmarkStart w:id="143" w:name="_Toc224798292"/>
      <w:r>
        <w:t>Improvement Actions</w:t>
      </w:r>
      <w:bookmarkEnd w:id="143"/>
    </w:p>
    <w:tbl>
      <w:tblPr>
        <w:tblStyle w:val="95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760"/>
        <w:gridCol w:w="1560"/>
        <w:gridCol w:w="1560"/>
        <w:gridCol w:w="1560"/>
        <w:gridCol w:w="1320"/>
      </w:tblGrid>
      <w:tr w:rsidR="00970BBD" w14:paraId="49E2A423" w14:textId="77777777">
        <w:tc>
          <w:tcPr>
            <w:tcW w:w="600" w:type="dxa"/>
            <w:shd w:val="clear" w:color="auto" w:fill="D5E8F0"/>
          </w:tcPr>
          <w:p w14:paraId="00000F50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760" w:type="dxa"/>
            <w:shd w:val="clear" w:color="auto" w:fill="D5E8F0"/>
          </w:tcPr>
          <w:p w14:paraId="00000F51" w14:textId="77777777" w:rsidR="00970BBD" w:rsidRDefault="003E79B6">
            <w:r>
              <w:rPr>
                <w:b/>
                <w:bCs/>
                <w:sz w:val="20"/>
                <w:szCs w:val="20"/>
              </w:rPr>
              <w:t>Deficiency Identified</w:t>
            </w:r>
          </w:p>
        </w:tc>
        <w:tc>
          <w:tcPr>
            <w:tcW w:w="1560" w:type="dxa"/>
            <w:shd w:val="clear" w:color="auto" w:fill="D5E8F0"/>
          </w:tcPr>
          <w:p w14:paraId="00000F52" w14:textId="77777777" w:rsidR="00970BBD" w:rsidRDefault="003E79B6">
            <w:r>
              <w:rPr>
                <w:b/>
                <w:bCs/>
                <w:sz w:val="20"/>
                <w:szCs w:val="20"/>
              </w:rPr>
              <w:t>Required Action</w:t>
            </w:r>
          </w:p>
        </w:tc>
        <w:tc>
          <w:tcPr>
            <w:tcW w:w="1560" w:type="dxa"/>
            <w:shd w:val="clear" w:color="auto" w:fill="D5E8F0"/>
          </w:tcPr>
          <w:p w14:paraId="00000F53" w14:textId="77777777" w:rsidR="00970BBD" w:rsidRDefault="003E79B6">
            <w:r>
              <w:rPr>
                <w:b/>
                <w:bCs/>
                <w:sz w:val="20"/>
                <w:szCs w:val="20"/>
              </w:rPr>
              <w:t>Responsible</w:t>
            </w:r>
          </w:p>
        </w:tc>
        <w:tc>
          <w:tcPr>
            <w:tcW w:w="1560" w:type="dxa"/>
            <w:shd w:val="clear" w:color="auto" w:fill="D5E8F0"/>
          </w:tcPr>
          <w:p w14:paraId="00000F54" w14:textId="77777777" w:rsidR="00970BBD" w:rsidRDefault="003E79B6">
            <w:r>
              <w:rPr>
                <w:b/>
                <w:bCs/>
                <w:sz w:val="20"/>
                <w:szCs w:val="20"/>
              </w:rPr>
              <w:t>Deadline</w:t>
            </w:r>
          </w:p>
        </w:tc>
        <w:tc>
          <w:tcPr>
            <w:tcW w:w="1320" w:type="dxa"/>
            <w:shd w:val="clear" w:color="auto" w:fill="D5E8F0"/>
          </w:tcPr>
          <w:p w14:paraId="00000F55" w14:textId="77777777" w:rsidR="00970BBD" w:rsidRDefault="003E79B6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970BBD" w14:paraId="16BFC163" w14:textId="77777777">
        <w:tc>
          <w:tcPr>
            <w:tcW w:w="600" w:type="dxa"/>
          </w:tcPr>
          <w:p w14:paraId="00000F56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2760" w:type="dxa"/>
          </w:tcPr>
          <w:p w14:paraId="00000F57" w14:textId="77777777" w:rsidR="00970BBD" w:rsidRDefault="00970BBD"/>
        </w:tc>
        <w:tc>
          <w:tcPr>
            <w:tcW w:w="1560" w:type="dxa"/>
          </w:tcPr>
          <w:p w14:paraId="00000F58" w14:textId="77777777" w:rsidR="00970BBD" w:rsidRDefault="00970BBD"/>
        </w:tc>
        <w:tc>
          <w:tcPr>
            <w:tcW w:w="1560" w:type="dxa"/>
          </w:tcPr>
          <w:p w14:paraId="00000F59" w14:textId="77777777" w:rsidR="00970BBD" w:rsidRDefault="00970BBD"/>
        </w:tc>
        <w:tc>
          <w:tcPr>
            <w:tcW w:w="1560" w:type="dxa"/>
          </w:tcPr>
          <w:p w14:paraId="00000F5A" w14:textId="77777777" w:rsidR="00970BBD" w:rsidRDefault="00970BBD"/>
        </w:tc>
        <w:tc>
          <w:tcPr>
            <w:tcW w:w="1320" w:type="dxa"/>
          </w:tcPr>
          <w:p w14:paraId="00000F5B" w14:textId="77777777" w:rsidR="00970BBD" w:rsidRDefault="003E79B6">
            <w:r>
              <w:rPr>
                <w:sz w:val="20"/>
                <w:szCs w:val="20"/>
              </w:rPr>
              <w:t>□ Open □ Closed</w:t>
            </w:r>
          </w:p>
        </w:tc>
      </w:tr>
      <w:tr w:rsidR="00970BBD" w14:paraId="556AB14E" w14:textId="77777777">
        <w:tc>
          <w:tcPr>
            <w:tcW w:w="600" w:type="dxa"/>
          </w:tcPr>
          <w:p w14:paraId="00000F5C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2760" w:type="dxa"/>
          </w:tcPr>
          <w:p w14:paraId="00000F5D" w14:textId="77777777" w:rsidR="00970BBD" w:rsidRDefault="00970BBD"/>
        </w:tc>
        <w:tc>
          <w:tcPr>
            <w:tcW w:w="1560" w:type="dxa"/>
          </w:tcPr>
          <w:p w14:paraId="00000F5E" w14:textId="77777777" w:rsidR="00970BBD" w:rsidRDefault="00970BBD"/>
        </w:tc>
        <w:tc>
          <w:tcPr>
            <w:tcW w:w="1560" w:type="dxa"/>
          </w:tcPr>
          <w:p w14:paraId="00000F5F" w14:textId="77777777" w:rsidR="00970BBD" w:rsidRDefault="00970BBD"/>
        </w:tc>
        <w:tc>
          <w:tcPr>
            <w:tcW w:w="1560" w:type="dxa"/>
          </w:tcPr>
          <w:p w14:paraId="00000F60" w14:textId="77777777" w:rsidR="00970BBD" w:rsidRDefault="00970BBD"/>
        </w:tc>
        <w:tc>
          <w:tcPr>
            <w:tcW w:w="1320" w:type="dxa"/>
          </w:tcPr>
          <w:p w14:paraId="00000F61" w14:textId="77777777" w:rsidR="00970BBD" w:rsidRDefault="003E79B6">
            <w:r>
              <w:rPr>
                <w:sz w:val="20"/>
                <w:szCs w:val="20"/>
              </w:rPr>
              <w:t>□ Open □ Closed</w:t>
            </w:r>
          </w:p>
        </w:tc>
      </w:tr>
      <w:tr w:rsidR="00970BBD" w14:paraId="7920DBF8" w14:textId="77777777">
        <w:tc>
          <w:tcPr>
            <w:tcW w:w="600" w:type="dxa"/>
          </w:tcPr>
          <w:p w14:paraId="00000F62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2760" w:type="dxa"/>
          </w:tcPr>
          <w:p w14:paraId="00000F63" w14:textId="77777777" w:rsidR="00970BBD" w:rsidRDefault="00970BBD"/>
        </w:tc>
        <w:tc>
          <w:tcPr>
            <w:tcW w:w="1560" w:type="dxa"/>
          </w:tcPr>
          <w:p w14:paraId="00000F64" w14:textId="77777777" w:rsidR="00970BBD" w:rsidRDefault="00970BBD"/>
        </w:tc>
        <w:tc>
          <w:tcPr>
            <w:tcW w:w="1560" w:type="dxa"/>
          </w:tcPr>
          <w:p w14:paraId="00000F65" w14:textId="77777777" w:rsidR="00970BBD" w:rsidRDefault="00970BBD"/>
        </w:tc>
        <w:tc>
          <w:tcPr>
            <w:tcW w:w="1560" w:type="dxa"/>
          </w:tcPr>
          <w:p w14:paraId="00000F66" w14:textId="77777777" w:rsidR="00970BBD" w:rsidRDefault="00970BBD"/>
        </w:tc>
        <w:tc>
          <w:tcPr>
            <w:tcW w:w="1320" w:type="dxa"/>
          </w:tcPr>
          <w:p w14:paraId="00000F67" w14:textId="77777777" w:rsidR="00970BBD" w:rsidRDefault="003E79B6">
            <w:r>
              <w:rPr>
                <w:sz w:val="20"/>
                <w:szCs w:val="20"/>
              </w:rPr>
              <w:t>□ Open □ Closed</w:t>
            </w:r>
          </w:p>
        </w:tc>
      </w:tr>
      <w:tr w:rsidR="00970BBD" w14:paraId="7CA3A2BD" w14:textId="77777777">
        <w:tc>
          <w:tcPr>
            <w:tcW w:w="600" w:type="dxa"/>
          </w:tcPr>
          <w:p w14:paraId="00000F68" w14:textId="77777777" w:rsidR="00970BBD" w:rsidRDefault="003E79B6">
            <w:r>
              <w:rPr>
                <w:sz w:val="20"/>
                <w:szCs w:val="20"/>
              </w:rPr>
              <w:t>4</w:t>
            </w:r>
          </w:p>
        </w:tc>
        <w:tc>
          <w:tcPr>
            <w:tcW w:w="2760" w:type="dxa"/>
          </w:tcPr>
          <w:p w14:paraId="00000F69" w14:textId="77777777" w:rsidR="00970BBD" w:rsidRDefault="00970BBD"/>
        </w:tc>
        <w:tc>
          <w:tcPr>
            <w:tcW w:w="1560" w:type="dxa"/>
          </w:tcPr>
          <w:p w14:paraId="00000F6A" w14:textId="77777777" w:rsidR="00970BBD" w:rsidRDefault="00970BBD"/>
        </w:tc>
        <w:tc>
          <w:tcPr>
            <w:tcW w:w="1560" w:type="dxa"/>
          </w:tcPr>
          <w:p w14:paraId="00000F6B" w14:textId="77777777" w:rsidR="00970BBD" w:rsidRDefault="00970BBD"/>
        </w:tc>
        <w:tc>
          <w:tcPr>
            <w:tcW w:w="1560" w:type="dxa"/>
          </w:tcPr>
          <w:p w14:paraId="00000F6C" w14:textId="77777777" w:rsidR="00970BBD" w:rsidRDefault="00970BBD"/>
        </w:tc>
        <w:tc>
          <w:tcPr>
            <w:tcW w:w="1320" w:type="dxa"/>
          </w:tcPr>
          <w:p w14:paraId="00000F6D" w14:textId="77777777" w:rsidR="00970BBD" w:rsidRDefault="003E79B6">
            <w:r>
              <w:rPr>
                <w:sz w:val="20"/>
                <w:szCs w:val="20"/>
              </w:rPr>
              <w:t>□ Open □ Closed</w:t>
            </w:r>
          </w:p>
        </w:tc>
      </w:tr>
    </w:tbl>
    <w:p w14:paraId="00000F6E" w14:textId="77777777" w:rsidR="00970BBD" w:rsidRDefault="003E79B6">
      <w:pPr>
        <w:pStyle w:val="Heading2"/>
      </w:pPr>
      <w:bookmarkStart w:id="144" w:name="_Toc224798293"/>
      <w:r>
        <w:t>Review and Outcome</w:t>
      </w:r>
      <w:bookmarkEnd w:id="144"/>
    </w:p>
    <w:p w14:paraId="00000F6F" w14:textId="77777777" w:rsidR="00970BBD" w:rsidRDefault="003E79B6">
      <w:pPr>
        <w:spacing w:before="80" w:after="80"/>
      </w:pPr>
      <w:r>
        <w:rPr>
          <w:color w:val="000000"/>
        </w:rPr>
        <w:t>Mid-point review at 50% of plan duration. Final review at plan expiry. Outcome: □ Improvement confirmed — restore to Standard (B) □ Insufficient improvement — escalate to Suspension □ Non-engagement — refer for Debarment (SADC 5.4.3).</w:t>
      </w:r>
    </w:p>
    <w:tbl>
      <w:tblPr>
        <w:tblStyle w:val="94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2CA73136" w14:textId="77777777">
        <w:tc>
          <w:tcPr>
            <w:tcW w:w="3120" w:type="dxa"/>
            <w:shd w:val="clear" w:color="auto" w:fill="D5E8F0"/>
          </w:tcPr>
          <w:p w14:paraId="00000F70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0F71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0F72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2517A488" w14:textId="77777777">
        <w:tc>
          <w:tcPr>
            <w:tcW w:w="3120" w:type="dxa"/>
          </w:tcPr>
          <w:p w14:paraId="00000F73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0F7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7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170FCCED" w14:textId="77777777">
        <w:tc>
          <w:tcPr>
            <w:tcW w:w="3120" w:type="dxa"/>
          </w:tcPr>
          <w:p w14:paraId="00000F76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0F7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7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54355991" w14:textId="77777777">
        <w:tc>
          <w:tcPr>
            <w:tcW w:w="3120" w:type="dxa"/>
          </w:tcPr>
          <w:p w14:paraId="00000F79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0F7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7B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