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F7C" w14:textId="77777777" w:rsidR="00970BBD" w:rsidRDefault="003E79B6">
      <w:pPr>
        <w:pStyle w:val="Heading1"/>
        <w:pageBreakBefore/>
      </w:pPr>
      <w:bookmarkStart w:id="145" w:name="_heading=h.3bi2gv8pby7b" w:colFirst="0" w:colLast="0"/>
      <w:bookmarkStart w:id="146" w:name="_Toc224798294"/>
      <w:bookmarkEnd w:id="145"/>
      <w:r>
        <w:lastRenderedPageBreak/>
        <w:t>Annex 8.3-I: Annual Supplier Review Report Template</w:t>
      </w:r>
      <w:bookmarkEnd w:id="146"/>
    </w:p>
    <w:p w14:paraId="00000F7D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Consolidate annual supplier performance data, database health, framework agreement status, and improvement plan outcomes for Governing Board reporting and procurement planning.</w:t>
      </w:r>
    </w:p>
    <w:p w14:paraId="00000F7E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6.7 │ SADC 7.2 │ Output: ASR-RPT-01</w:t>
      </w:r>
    </w:p>
    <w:tbl>
      <w:tblPr>
        <w:tblStyle w:val="9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1DB9F5BB" w14:textId="77777777">
        <w:tc>
          <w:tcPr>
            <w:tcW w:w="3120" w:type="dxa"/>
            <w:shd w:val="clear" w:color="auto" w:fill="D5E8F0"/>
          </w:tcPr>
          <w:p w14:paraId="00000F7F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0F80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0214C98D" w14:textId="77777777">
        <w:tc>
          <w:tcPr>
            <w:tcW w:w="3120" w:type="dxa"/>
          </w:tcPr>
          <w:p w14:paraId="00000F81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0F82" w14:textId="77777777" w:rsidR="00970BBD" w:rsidRDefault="003E79B6">
            <w:r>
              <w:rPr>
                <w:sz w:val="20"/>
                <w:szCs w:val="20"/>
              </w:rPr>
              <w:t>ASR-[YEAR]</w:t>
            </w:r>
          </w:p>
        </w:tc>
      </w:tr>
      <w:tr w:rsidR="00970BBD" w14:paraId="7284C5B1" w14:textId="77777777">
        <w:tc>
          <w:tcPr>
            <w:tcW w:w="3120" w:type="dxa"/>
          </w:tcPr>
          <w:p w14:paraId="00000F83" w14:textId="77777777" w:rsidR="00970BBD" w:rsidRDefault="003E79B6">
            <w:r>
              <w:rPr>
                <w:sz w:val="20"/>
                <w:szCs w:val="20"/>
              </w:rPr>
              <w:t>Reporting Period</w:t>
            </w:r>
          </w:p>
        </w:tc>
        <w:tc>
          <w:tcPr>
            <w:tcW w:w="6240" w:type="dxa"/>
          </w:tcPr>
          <w:p w14:paraId="00000F84" w14:textId="77777777" w:rsidR="00970BBD" w:rsidRDefault="003E79B6">
            <w:r>
              <w:rPr>
                <w:sz w:val="20"/>
                <w:szCs w:val="20"/>
              </w:rPr>
              <w:t>01 January – 31 December [YEAR]</w:t>
            </w:r>
          </w:p>
        </w:tc>
      </w:tr>
      <w:tr w:rsidR="00970BBD" w14:paraId="6AA0FC3B" w14:textId="77777777">
        <w:tc>
          <w:tcPr>
            <w:tcW w:w="3120" w:type="dxa"/>
          </w:tcPr>
          <w:p w14:paraId="00000F85" w14:textId="77777777" w:rsidR="00970BBD" w:rsidRDefault="003E79B6"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6240" w:type="dxa"/>
          </w:tcPr>
          <w:p w14:paraId="00000F86" w14:textId="77777777" w:rsidR="00970BBD" w:rsidRDefault="00970BBD"/>
        </w:tc>
      </w:tr>
      <w:tr w:rsidR="00970BBD" w14:paraId="3CF9479D" w14:textId="77777777">
        <w:tc>
          <w:tcPr>
            <w:tcW w:w="3120" w:type="dxa"/>
          </w:tcPr>
          <w:p w14:paraId="00000F87" w14:textId="77777777" w:rsidR="00970BBD" w:rsidRDefault="003E79B6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</w:tcPr>
          <w:p w14:paraId="00000F88" w14:textId="77777777" w:rsidR="00970BBD" w:rsidRDefault="00970BBD"/>
        </w:tc>
      </w:tr>
    </w:tbl>
    <w:p w14:paraId="00000F89" w14:textId="77777777" w:rsidR="00970BBD" w:rsidRDefault="003E79B6">
      <w:pPr>
        <w:pStyle w:val="Heading2"/>
      </w:pPr>
      <w:bookmarkStart w:id="147" w:name="_Toc224798295"/>
      <w:r>
        <w:t>Database Summary</w:t>
      </w:r>
      <w:bookmarkEnd w:id="147"/>
    </w:p>
    <w:tbl>
      <w:tblPr>
        <w:tblStyle w:val="9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970BBD" w14:paraId="423D2641" w14:textId="77777777">
        <w:tc>
          <w:tcPr>
            <w:tcW w:w="4680" w:type="dxa"/>
            <w:shd w:val="clear" w:color="auto" w:fill="D5E8F0"/>
          </w:tcPr>
          <w:p w14:paraId="00000F8A" w14:textId="77777777" w:rsidR="00970BBD" w:rsidRDefault="003E79B6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shd w:val="clear" w:color="auto" w:fill="D5E8F0"/>
          </w:tcPr>
          <w:p w14:paraId="00000F8B" w14:textId="77777777" w:rsidR="00970BBD" w:rsidRDefault="003E79B6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970BBD" w14:paraId="3EF16BBF" w14:textId="77777777">
        <w:tc>
          <w:tcPr>
            <w:tcW w:w="4680" w:type="dxa"/>
          </w:tcPr>
          <w:p w14:paraId="00000F8C" w14:textId="77777777" w:rsidR="00970BBD" w:rsidRDefault="003E79B6">
            <w:r>
              <w:rPr>
                <w:sz w:val="20"/>
                <w:szCs w:val="20"/>
              </w:rPr>
              <w:t>Total registered suppliers</w:t>
            </w:r>
          </w:p>
        </w:tc>
        <w:tc>
          <w:tcPr>
            <w:tcW w:w="4680" w:type="dxa"/>
          </w:tcPr>
          <w:p w14:paraId="00000F8D" w14:textId="77777777" w:rsidR="00970BBD" w:rsidRDefault="00970BBD"/>
        </w:tc>
      </w:tr>
      <w:tr w:rsidR="00970BBD" w14:paraId="4EBF59F3" w14:textId="77777777">
        <w:tc>
          <w:tcPr>
            <w:tcW w:w="4680" w:type="dxa"/>
          </w:tcPr>
          <w:p w14:paraId="00000F8E" w14:textId="77777777" w:rsidR="00970BBD" w:rsidRDefault="003E79B6">
            <w:r>
              <w:rPr>
                <w:sz w:val="20"/>
                <w:szCs w:val="20"/>
              </w:rPr>
              <w:t>Active framework agreements</w:t>
            </w:r>
          </w:p>
        </w:tc>
        <w:tc>
          <w:tcPr>
            <w:tcW w:w="4680" w:type="dxa"/>
          </w:tcPr>
          <w:p w14:paraId="00000F8F" w14:textId="77777777" w:rsidR="00970BBD" w:rsidRDefault="00970BBD"/>
        </w:tc>
      </w:tr>
      <w:tr w:rsidR="00970BBD" w14:paraId="1DEA97C5" w14:textId="77777777">
        <w:tc>
          <w:tcPr>
            <w:tcW w:w="4680" w:type="dxa"/>
          </w:tcPr>
          <w:p w14:paraId="00000F90" w14:textId="77777777" w:rsidR="00970BBD" w:rsidRDefault="003E79B6">
            <w:r>
              <w:rPr>
                <w:sz w:val="20"/>
                <w:szCs w:val="20"/>
              </w:rPr>
              <w:t>New suppliers added in period</w:t>
            </w:r>
          </w:p>
        </w:tc>
        <w:tc>
          <w:tcPr>
            <w:tcW w:w="4680" w:type="dxa"/>
          </w:tcPr>
          <w:p w14:paraId="00000F91" w14:textId="77777777" w:rsidR="00970BBD" w:rsidRDefault="00970BBD"/>
        </w:tc>
      </w:tr>
      <w:tr w:rsidR="00970BBD" w14:paraId="4BCD27E6" w14:textId="77777777">
        <w:tc>
          <w:tcPr>
            <w:tcW w:w="4680" w:type="dxa"/>
          </w:tcPr>
          <w:p w14:paraId="00000F92" w14:textId="77777777" w:rsidR="00970BBD" w:rsidRDefault="003E79B6">
            <w:r>
              <w:rPr>
                <w:sz w:val="20"/>
                <w:szCs w:val="20"/>
              </w:rPr>
              <w:t>Suppliers suspended</w:t>
            </w:r>
          </w:p>
        </w:tc>
        <w:tc>
          <w:tcPr>
            <w:tcW w:w="4680" w:type="dxa"/>
          </w:tcPr>
          <w:p w14:paraId="00000F93" w14:textId="77777777" w:rsidR="00970BBD" w:rsidRDefault="00970BBD"/>
        </w:tc>
      </w:tr>
      <w:tr w:rsidR="00970BBD" w14:paraId="18807966" w14:textId="77777777">
        <w:tc>
          <w:tcPr>
            <w:tcW w:w="4680" w:type="dxa"/>
          </w:tcPr>
          <w:p w14:paraId="00000F94" w14:textId="77777777" w:rsidR="00970BBD" w:rsidRDefault="003E79B6">
            <w:r>
              <w:rPr>
                <w:sz w:val="20"/>
                <w:szCs w:val="20"/>
              </w:rPr>
              <w:t>Suppliers debarred (SADC 5.4.3)</w:t>
            </w:r>
          </w:p>
        </w:tc>
        <w:tc>
          <w:tcPr>
            <w:tcW w:w="4680" w:type="dxa"/>
          </w:tcPr>
          <w:p w14:paraId="00000F95" w14:textId="77777777" w:rsidR="00970BBD" w:rsidRDefault="00970BBD"/>
        </w:tc>
      </w:tr>
      <w:tr w:rsidR="00970BBD" w14:paraId="13BE058A" w14:textId="77777777">
        <w:tc>
          <w:tcPr>
            <w:tcW w:w="4680" w:type="dxa"/>
          </w:tcPr>
          <w:p w14:paraId="00000F96" w14:textId="77777777" w:rsidR="00970BBD" w:rsidRDefault="003E79B6">
            <w:r>
              <w:rPr>
                <w:sz w:val="20"/>
                <w:szCs w:val="20"/>
              </w:rPr>
              <w:t>Average scorecard rating (A–E)</w:t>
            </w:r>
          </w:p>
        </w:tc>
        <w:tc>
          <w:tcPr>
            <w:tcW w:w="4680" w:type="dxa"/>
          </w:tcPr>
          <w:p w14:paraId="00000F97" w14:textId="77777777" w:rsidR="00970BBD" w:rsidRDefault="00970BBD"/>
        </w:tc>
      </w:tr>
      <w:tr w:rsidR="00970BBD" w14:paraId="7BE73D8B" w14:textId="77777777">
        <w:tc>
          <w:tcPr>
            <w:tcW w:w="4680" w:type="dxa"/>
          </w:tcPr>
          <w:p w14:paraId="00000F98" w14:textId="77777777" w:rsidR="00970BBD" w:rsidRDefault="003E79B6">
            <w:r>
              <w:rPr>
                <w:sz w:val="20"/>
                <w:szCs w:val="20"/>
              </w:rPr>
              <w:t>Improvement plans active</w:t>
            </w:r>
          </w:p>
        </w:tc>
        <w:tc>
          <w:tcPr>
            <w:tcW w:w="4680" w:type="dxa"/>
          </w:tcPr>
          <w:p w14:paraId="00000F99" w14:textId="77777777" w:rsidR="00970BBD" w:rsidRDefault="00970BBD"/>
        </w:tc>
      </w:tr>
      <w:tr w:rsidR="00970BBD" w14:paraId="71310976" w14:textId="77777777">
        <w:tc>
          <w:tcPr>
            <w:tcW w:w="4680" w:type="dxa"/>
          </w:tcPr>
          <w:p w14:paraId="00000F9A" w14:textId="77777777" w:rsidR="00970BBD" w:rsidRDefault="003E79B6">
            <w:r>
              <w:rPr>
                <w:sz w:val="20"/>
                <w:szCs w:val="20"/>
              </w:rPr>
              <w:t>Improvement plans closed successfully</w:t>
            </w:r>
          </w:p>
        </w:tc>
        <w:tc>
          <w:tcPr>
            <w:tcW w:w="4680" w:type="dxa"/>
          </w:tcPr>
          <w:p w14:paraId="00000F9B" w14:textId="77777777" w:rsidR="00970BBD" w:rsidRDefault="00970BBD"/>
        </w:tc>
      </w:tr>
    </w:tbl>
    <w:p w14:paraId="00000F9C" w14:textId="77777777" w:rsidR="00970BBD" w:rsidRDefault="003E79B6">
      <w:pPr>
        <w:pStyle w:val="Heading2"/>
      </w:pPr>
      <w:bookmarkStart w:id="148" w:name="_Toc224798296"/>
      <w:r>
        <w:t>Category Coverage Analysis</w:t>
      </w:r>
      <w:bookmarkEnd w:id="148"/>
    </w:p>
    <w:p w14:paraId="00000F9D" w14:textId="77777777" w:rsidR="00970BBD" w:rsidRDefault="003E79B6">
      <w:pPr>
        <w:spacing w:before="80" w:after="80"/>
      </w:pPr>
      <w:r>
        <w:rPr>
          <w:color w:val="000000"/>
        </w:rPr>
        <w:t>Summary of supplier coverage across CAT-1 through CAT-6 inventory categories, identifying sole-source risks, geographic gaps in SADC region, and categories requiring targeted prequalification drives.</w:t>
      </w:r>
    </w:p>
    <w:p w14:paraId="00000F9E" w14:textId="77777777" w:rsidR="00970BBD" w:rsidRDefault="003E79B6">
      <w:pPr>
        <w:pStyle w:val="Heading2"/>
      </w:pPr>
      <w:bookmarkStart w:id="149" w:name="_Toc224798297"/>
      <w:r>
        <w:t>Recommendations</w:t>
      </w:r>
      <w:bookmarkEnd w:id="149"/>
    </w:p>
    <w:p w14:paraId="00000F9F" w14:textId="77777777" w:rsidR="00970BBD" w:rsidRDefault="003E79B6">
      <w:pPr>
        <w:spacing w:before="80" w:after="80"/>
      </w:pPr>
      <w:r>
        <w:rPr>
          <w:color w:val="000000"/>
        </w:rPr>
        <w:t>Key recommendations for next procurement cycle: framework renewals, new prequalification rounds, database cleansing, debarment referrals, and alignment actions with Annual Procurement Plan (Annex A-46).</w:t>
      </w:r>
    </w:p>
    <w:tbl>
      <w:tblPr>
        <w:tblStyle w:val="9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0144D966" w14:textId="77777777">
        <w:tc>
          <w:tcPr>
            <w:tcW w:w="3120" w:type="dxa"/>
            <w:shd w:val="clear" w:color="auto" w:fill="D5E8F0"/>
          </w:tcPr>
          <w:p w14:paraId="00000FA0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0FA1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FA2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954D653" w14:textId="77777777">
        <w:tc>
          <w:tcPr>
            <w:tcW w:w="3120" w:type="dxa"/>
          </w:tcPr>
          <w:p w14:paraId="00000FA3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0FA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A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56AF17CD" w14:textId="77777777">
        <w:tc>
          <w:tcPr>
            <w:tcW w:w="3120" w:type="dxa"/>
          </w:tcPr>
          <w:p w14:paraId="00000FA6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0FA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A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630FD20" w14:textId="77777777">
        <w:tc>
          <w:tcPr>
            <w:tcW w:w="3120" w:type="dxa"/>
          </w:tcPr>
          <w:p w14:paraId="00000FA9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0FA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FA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