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FAC" w14:textId="77777777" w:rsidR="00970BBD" w:rsidRDefault="003E79B6">
      <w:pPr>
        <w:pStyle w:val="Heading1"/>
        <w:pageBreakBefore/>
      </w:pPr>
      <w:bookmarkStart w:id="150" w:name="_heading=h.u54sxkbllo1p" w:colFirst="0" w:colLast="0"/>
      <w:bookmarkStart w:id="151" w:name="_Toc224798298"/>
      <w:bookmarkEnd w:id="150"/>
      <w:r>
        <w:lastRenderedPageBreak/>
        <w:t>Annex 8.3-J: Three-Party Coordination Model Diagram (Supplier Management)</w:t>
      </w:r>
      <w:bookmarkEnd w:id="151"/>
    </w:p>
    <w:p w14:paraId="00000FAD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Visual representation of the three-party coordination model (SHOC – NDMA – Strategic Partners) for supplier management, showing information flows, decision gates, and accountability lines.</w:t>
      </w:r>
    </w:p>
    <w:p w14:paraId="00000FAE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1.3 │ Annex 8.2-K │ Output: 3PM-SUPP-01</w:t>
      </w:r>
    </w:p>
    <w:p w14:paraId="00000FAF" w14:textId="77777777" w:rsidR="00970BBD" w:rsidRDefault="003E79B6">
      <w:pPr>
        <w:pStyle w:val="Heading2"/>
      </w:pPr>
      <w:bookmarkStart w:id="152" w:name="_Toc224798299"/>
      <w:r>
        <w:t>Coordination Parties</w:t>
      </w:r>
      <w:bookmarkEnd w:id="152"/>
    </w:p>
    <w:tbl>
      <w:tblPr>
        <w:tblStyle w:val="9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70BBD" w14:paraId="706B6C72" w14:textId="77777777">
        <w:tc>
          <w:tcPr>
            <w:tcW w:w="3120" w:type="dxa"/>
            <w:shd w:val="clear" w:color="auto" w:fill="D5E8F0"/>
          </w:tcPr>
          <w:p w14:paraId="00000FB0" w14:textId="77777777" w:rsidR="00970BBD" w:rsidRDefault="003E79B6">
            <w:r>
              <w:rPr>
                <w:b/>
                <w:bCs/>
                <w:sz w:val="20"/>
                <w:szCs w:val="20"/>
              </w:rPr>
              <w:t>SHOC</w:t>
            </w:r>
          </w:p>
        </w:tc>
        <w:tc>
          <w:tcPr>
            <w:tcW w:w="3120" w:type="dxa"/>
            <w:shd w:val="clear" w:color="auto" w:fill="D5E8F0"/>
          </w:tcPr>
          <w:p w14:paraId="00000FB1" w14:textId="77777777" w:rsidR="00970BBD" w:rsidRDefault="003E79B6">
            <w:r>
              <w:rPr>
                <w:b/>
                <w:bCs/>
                <w:sz w:val="20"/>
                <w:szCs w:val="20"/>
              </w:rPr>
              <w:t>NDMA (Affected State)</w:t>
            </w:r>
          </w:p>
        </w:tc>
        <w:tc>
          <w:tcPr>
            <w:tcW w:w="3120" w:type="dxa"/>
            <w:shd w:val="clear" w:color="auto" w:fill="D5E8F0"/>
          </w:tcPr>
          <w:p w14:paraId="00000FB2" w14:textId="77777777" w:rsidR="00970BBD" w:rsidRDefault="003E79B6">
            <w:r>
              <w:rPr>
                <w:b/>
                <w:bCs/>
                <w:sz w:val="20"/>
                <w:szCs w:val="20"/>
              </w:rPr>
              <w:t>Strategic Partners</w:t>
            </w:r>
          </w:p>
        </w:tc>
      </w:tr>
      <w:tr w:rsidR="00970BBD" w14:paraId="642C379D" w14:textId="77777777">
        <w:tc>
          <w:tcPr>
            <w:tcW w:w="3120" w:type="dxa"/>
          </w:tcPr>
          <w:p w14:paraId="00000FB3" w14:textId="77777777" w:rsidR="00970BBD" w:rsidRDefault="003E79B6">
            <w:r>
              <w:rPr>
                <w:sz w:val="20"/>
                <w:szCs w:val="20"/>
              </w:rPr>
              <w:t>Maintains Economic Operator Database</w:t>
            </w:r>
          </w:p>
        </w:tc>
        <w:tc>
          <w:tcPr>
            <w:tcW w:w="3120" w:type="dxa"/>
          </w:tcPr>
          <w:p w14:paraId="00000FB4" w14:textId="77777777" w:rsidR="00970BBD" w:rsidRDefault="003E79B6">
            <w:r>
              <w:rPr>
                <w:sz w:val="20"/>
                <w:szCs w:val="20"/>
              </w:rPr>
              <w:t>Nominates local suppliers for prequalification</w:t>
            </w:r>
          </w:p>
        </w:tc>
        <w:tc>
          <w:tcPr>
            <w:tcW w:w="3120" w:type="dxa"/>
          </w:tcPr>
          <w:p w14:paraId="00000FB5" w14:textId="77777777" w:rsidR="00970BBD" w:rsidRDefault="003E79B6">
            <w:r>
              <w:rPr>
                <w:sz w:val="20"/>
                <w:szCs w:val="20"/>
              </w:rPr>
              <w:t>Provide partner stock per MOU (8.3-F)</w:t>
            </w:r>
          </w:p>
        </w:tc>
      </w:tr>
      <w:tr w:rsidR="00970BBD" w14:paraId="0F5E78F3" w14:textId="77777777">
        <w:tc>
          <w:tcPr>
            <w:tcW w:w="3120" w:type="dxa"/>
          </w:tcPr>
          <w:p w14:paraId="00000FB6" w14:textId="77777777" w:rsidR="00970BBD" w:rsidRDefault="003E79B6">
            <w:r>
              <w:rPr>
                <w:sz w:val="20"/>
                <w:szCs w:val="20"/>
              </w:rPr>
              <w:t>Manages framework agreements</w:t>
            </w:r>
          </w:p>
        </w:tc>
        <w:tc>
          <w:tcPr>
            <w:tcW w:w="3120" w:type="dxa"/>
          </w:tcPr>
          <w:p w14:paraId="00000FB7" w14:textId="77777777" w:rsidR="00970BBD" w:rsidRDefault="003E79B6">
            <w:r>
              <w:rPr>
                <w:sz w:val="20"/>
                <w:szCs w:val="20"/>
              </w:rPr>
              <w:t>Validates in-country delivery capacity</w:t>
            </w:r>
          </w:p>
        </w:tc>
        <w:tc>
          <w:tcPr>
            <w:tcW w:w="3120" w:type="dxa"/>
          </w:tcPr>
          <w:p w14:paraId="00000FB8" w14:textId="647E3D6A" w:rsidR="00970BBD" w:rsidRDefault="003E79B6">
            <w:r>
              <w:rPr>
                <w:sz w:val="20"/>
                <w:szCs w:val="20"/>
              </w:rPr>
              <w:t>Share Logistics Platform stock data</w:t>
            </w:r>
          </w:p>
        </w:tc>
      </w:tr>
      <w:tr w:rsidR="00970BBD" w14:paraId="3652BFDF" w14:textId="77777777">
        <w:tc>
          <w:tcPr>
            <w:tcW w:w="3120" w:type="dxa"/>
          </w:tcPr>
          <w:p w14:paraId="00000FB9" w14:textId="77777777" w:rsidR="00970BBD" w:rsidRDefault="003E79B6">
            <w:r>
              <w:rPr>
                <w:sz w:val="20"/>
                <w:szCs w:val="20"/>
              </w:rPr>
              <w:t>Conducts performance evaluations (8.3-D)</w:t>
            </w:r>
          </w:p>
        </w:tc>
        <w:tc>
          <w:tcPr>
            <w:tcW w:w="3120" w:type="dxa"/>
          </w:tcPr>
          <w:p w14:paraId="00000FBA" w14:textId="77777777" w:rsidR="00970BBD" w:rsidRDefault="003E79B6">
            <w:r>
              <w:rPr>
                <w:sz w:val="20"/>
                <w:szCs w:val="20"/>
              </w:rPr>
              <w:t>Confirms receipt and quality</w:t>
            </w:r>
          </w:p>
        </w:tc>
        <w:tc>
          <w:tcPr>
            <w:tcW w:w="3120" w:type="dxa"/>
          </w:tcPr>
          <w:p w14:paraId="00000FBB" w14:textId="77777777" w:rsidR="00970BBD" w:rsidRDefault="003E79B6">
            <w:r>
              <w:rPr>
                <w:sz w:val="20"/>
                <w:szCs w:val="20"/>
              </w:rPr>
              <w:t>Participate in joint annual review</w:t>
            </w:r>
          </w:p>
        </w:tc>
      </w:tr>
      <w:tr w:rsidR="00970BBD" w14:paraId="1F978D54" w14:textId="77777777">
        <w:tc>
          <w:tcPr>
            <w:tcW w:w="3120" w:type="dxa"/>
          </w:tcPr>
          <w:p w14:paraId="00000FBC" w14:textId="77777777" w:rsidR="00970BBD" w:rsidRDefault="003E79B6">
            <w:r>
              <w:rPr>
                <w:sz w:val="20"/>
                <w:szCs w:val="20"/>
              </w:rPr>
              <w:t>Coordinates procurement decisions</w:t>
            </w:r>
          </w:p>
        </w:tc>
        <w:tc>
          <w:tcPr>
            <w:tcW w:w="3120" w:type="dxa"/>
          </w:tcPr>
          <w:p w14:paraId="00000FBD" w14:textId="77777777" w:rsidR="00970BBD" w:rsidRDefault="003E79B6">
            <w:r>
              <w:rPr>
                <w:sz w:val="20"/>
                <w:szCs w:val="20"/>
              </w:rPr>
              <w:t>Provides local market intelligence</w:t>
            </w:r>
          </w:p>
        </w:tc>
        <w:tc>
          <w:tcPr>
            <w:tcW w:w="3120" w:type="dxa"/>
          </w:tcPr>
          <w:p w14:paraId="00000FBE" w14:textId="77777777" w:rsidR="00970BBD" w:rsidRDefault="003E79B6">
            <w:r>
              <w:rPr>
                <w:sz w:val="20"/>
                <w:szCs w:val="20"/>
              </w:rPr>
              <w:t>Support supplier development initiatives</w:t>
            </w:r>
          </w:p>
        </w:tc>
      </w:tr>
    </w:tbl>
    <w:p w14:paraId="00000FBF" w14:textId="77777777" w:rsidR="00970BBD" w:rsidRDefault="003E79B6">
      <w:pPr>
        <w:pStyle w:val="Heading2"/>
      </w:pPr>
      <w:bookmarkStart w:id="153" w:name="_Toc224798300"/>
      <w:r>
        <w:t>Process Flow</w:t>
      </w:r>
      <w:bookmarkEnd w:id="153"/>
    </w:p>
    <w:p w14:paraId="00000FC0" w14:textId="77777777" w:rsidR="00970BBD" w:rsidRDefault="00000000">
      <w:pPr>
        <w:spacing w:before="80" w:after="80"/>
      </w:pPr>
      <w:sdt>
        <w:sdtPr>
          <w:tag w:val="goog_rdk_540"/>
          <w:id w:val="-22298805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1. SHOC issues prequalification call → 2. NDMAs nominate regional suppliers → 3. Evaluation Committee assesses (Annex A-52) → 4. SIRC reviews (Annex A-51) → 5. Framework agreements established (8.3-C) → 6. Partners pre-position stock per MOU → 7. Quarterly scorecard reviews → 8. Annual consolidated report (</w:t>
          </w:r>
        </w:sdtContent>
      </w:sdt>
      <w:hyperlink w:anchor="_heading=h.3bi2gv8pby7b">
        <w:r>
          <w:rPr>
            <w:color w:val="0563C1"/>
            <w:u w:val="single"/>
          </w:rPr>
          <w:t>8.3-I</w:t>
        </w:r>
      </w:hyperlink>
      <w:r>
        <w:rPr>
          <w:color w:val="000000"/>
        </w:rPr>
        <w:t>).</w:t>
      </w:r>
    </w:p>
    <w:p w14:paraId="00000FC1" w14:textId="77777777" w:rsidR="00970BBD" w:rsidRDefault="003E79B6">
      <w:pPr>
        <w:spacing w:before="80" w:after="80"/>
      </w:pPr>
      <w:r>
        <w:rPr>
          <w:color w:val="000000"/>
        </w:rPr>
        <w:t>[Insert PlantUML or Visio diagram here — render from SOP_SCM_v7_Three_Party_Supplier.puml]</w:t>
      </w:r>
    </w:p>
    <w:tbl>
      <w:tblPr>
        <w:tblStyle w:val="89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70BBD" w14:paraId="141595A7" w14:textId="77777777">
        <w:tc>
          <w:tcPr>
            <w:tcW w:w="3120" w:type="dxa"/>
            <w:shd w:val="clear" w:color="auto" w:fill="D5E8F0"/>
          </w:tcPr>
          <w:p w14:paraId="00000FC2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shd w:val="clear" w:color="auto" w:fill="D5E8F0"/>
          </w:tcPr>
          <w:p w14:paraId="00000FC3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0FC4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1B1ADBBF" w14:textId="77777777">
        <w:tc>
          <w:tcPr>
            <w:tcW w:w="3120" w:type="dxa"/>
          </w:tcPr>
          <w:p w14:paraId="00000FC5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</w:tcPr>
          <w:p w14:paraId="00000FC6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FC7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706CEB13" w14:textId="77777777">
        <w:tc>
          <w:tcPr>
            <w:tcW w:w="3120" w:type="dxa"/>
          </w:tcPr>
          <w:p w14:paraId="00000FC8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</w:tcPr>
          <w:p w14:paraId="00000FC9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FCA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1D833D0D" w14:textId="77777777">
        <w:tc>
          <w:tcPr>
            <w:tcW w:w="3120" w:type="dxa"/>
          </w:tcPr>
          <w:p w14:paraId="00000FCB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</w:tcPr>
          <w:p w14:paraId="00000FCC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FCD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p w14:paraId="00000FCE" w14:textId="77777777" w:rsidR="00970BBD" w:rsidRDefault="003E79B6">
      <w:pPr>
        <w:pageBreakBefore/>
        <w:pBdr>
          <w:bottom w:val="single" w:sz="6" w:space="8" w:color="00796B"/>
        </w:pBdr>
        <w:spacing w:before="600" w:after="200"/>
        <w:jc w:val="center"/>
      </w:pPr>
      <w:r>
        <w:rPr>
          <w:b/>
          <w:bCs/>
          <w:color w:val="1B3A5C"/>
          <w:sz w:val="32"/>
          <w:szCs w:val="32"/>
        </w:rPr>
        <w:lastRenderedPageBreak/>
        <w:t>SOP 8.4 ANNEXES: TRANSPORTATION, LOGISTICS COORDINATION, AND FLEET MANAGEMENT</w:t>
      </w:r>
    </w:p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