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216" w14:textId="77777777" w:rsidR="00970BBD" w:rsidRDefault="003E79B6">
      <w:pPr>
        <w:pStyle w:val="Heading1"/>
        <w:pageBreakBefore/>
      </w:pPr>
      <w:bookmarkStart w:id="175" w:name="_heading=h.biaag7u1lu2k" w:colFirst="0" w:colLast="0"/>
      <w:bookmarkStart w:id="176" w:name="_Toc224798314"/>
      <w:bookmarkEnd w:id="175"/>
      <w:r>
        <w:lastRenderedPageBreak/>
        <w:t>Annex 8.4-J: Three-Party Logistics Coordination Diagram</w:t>
      </w:r>
      <w:bookmarkEnd w:id="176"/>
    </w:p>
    <w:p w14:paraId="00001217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Visual representation of the three-party coordination model (SHOC – NDMA – Strategic Partners) for transport and logistics operations, showing dispatch triggers, tracking flows, and handover points.</w:t>
      </w:r>
    </w:p>
    <w:p w14:paraId="00001218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1.3 │ Annex 8.2-K │ Output: 3PM-LOG-01</w:t>
      </w:r>
    </w:p>
    <w:p w14:paraId="00001219" w14:textId="77777777" w:rsidR="00970BBD" w:rsidRDefault="003E79B6">
      <w:pPr>
        <w:pStyle w:val="Heading2"/>
      </w:pPr>
      <w:bookmarkStart w:id="177" w:name="_Toc224798315"/>
      <w:r>
        <w:t>Logistics Coordination Roles</w:t>
      </w:r>
      <w:bookmarkEnd w:id="177"/>
    </w:p>
    <w:tbl>
      <w:tblPr>
        <w:tblStyle w:val="74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6F18A707" w14:textId="77777777">
        <w:tc>
          <w:tcPr>
            <w:tcW w:w="3120" w:type="dxa"/>
            <w:shd w:val="clear" w:color="auto" w:fill="D5E8F0"/>
          </w:tcPr>
          <w:p w14:paraId="0000121A" w14:textId="77777777" w:rsidR="00970BBD" w:rsidRDefault="003E79B6">
            <w:r>
              <w:rPr>
                <w:b/>
                <w:bCs/>
                <w:sz w:val="20"/>
                <w:szCs w:val="20"/>
              </w:rPr>
              <w:t>SHOC</w:t>
            </w:r>
          </w:p>
        </w:tc>
        <w:tc>
          <w:tcPr>
            <w:tcW w:w="3120" w:type="dxa"/>
            <w:shd w:val="clear" w:color="auto" w:fill="D5E8F0"/>
          </w:tcPr>
          <w:p w14:paraId="0000121B" w14:textId="77777777" w:rsidR="00970BBD" w:rsidRDefault="003E79B6">
            <w:r>
              <w:rPr>
                <w:b/>
                <w:bCs/>
                <w:sz w:val="20"/>
                <w:szCs w:val="20"/>
              </w:rPr>
              <w:t>NDMA (Receiving State)</w:t>
            </w:r>
          </w:p>
        </w:tc>
        <w:tc>
          <w:tcPr>
            <w:tcW w:w="3120" w:type="dxa"/>
            <w:shd w:val="clear" w:color="auto" w:fill="D5E8F0"/>
          </w:tcPr>
          <w:p w14:paraId="0000121C" w14:textId="77777777" w:rsidR="00970BBD" w:rsidRDefault="003E79B6">
            <w:r>
              <w:rPr>
                <w:b/>
                <w:bCs/>
                <w:sz w:val="20"/>
                <w:szCs w:val="20"/>
              </w:rPr>
              <w:t>Strategic Partners</w:t>
            </w:r>
          </w:p>
        </w:tc>
      </w:tr>
      <w:tr w:rsidR="00970BBD" w14:paraId="1FCCB773" w14:textId="77777777">
        <w:tc>
          <w:tcPr>
            <w:tcW w:w="3120" w:type="dxa"/>
          </w:tcPr>
          <w:p w14:paraId="0000121D" w14:textId="77777777" w:rsidR="00970BBD" w:rsidRDefault="003E79B6">
            <w:r>
              <w:rPr>
                <w:sz w:val="20"/>
                <w:szCs w:val="20"/>
              </w:rPr>
              <w:t>Dispatches stock from SHOC warehouse or partner hubs</w:t>
            </w:r>
          </w:p>
        </w:tc>
        <w:tc>
          <w:tcPr>
            <w:tcW w:w="3120" w:type="dxa"/>
          </w:tcPr>
          <w:p w14:paraId="0000121E" w14:textId="77777777" w:rsidR="00970BBD" w:rsidRDefault="003E79B6">
            <w:r>
              <w:rPr>
                <w:sz w:val="20"/>
                <w:szCs w:val="20"/>
              </w:rPr>
              <w:t>Designates receiving point and local transport</w:t>
            </w:r>
          </w:p>
        </w:tc>
        <w:tc>
          <w:tcPr>
            <w:tcW w:w="3120" w:type="dxa"/>
          </w:tcPr>
          <w:p w14:paraId="0000121F" w14:textId="77777777" w:rsidR="00970BBD" w:rsidRDefault="003E79B6">
            <w:r>
              <w:rPr>
                <w:sz w:val="20"/>
                <w:szCs w:val="20"/>
              </w:rPr>
              <w:t>Dispatch from pre-positioned hubs (UNHRD, WFP)</w:t>
            </w:r>
          </w:p>
        </w:tc>
      </w:tr>
      <w:tr w:rsidR="00970BBD" w14:paraId="0BA66CA8" w14:textId="77777777">
        <w:tc>
          <w:tcPr>
            <w:tcW w:w="3120" w:type="dxa"/>
          </w:tcPr>
          <w:p w14:paraId="00001220" w14:textId="77777777" w:rsidR="00970BBD" w:rsidRDefault="003E79B6">
            <w:r>
              <w:rPr>
                <w:sz w:val="20"/>
                <w:szCs w:val="20"/>
              </w:rPr>
              <w:t>Issues E-Waybill (8.4-G) and tracks via DFMS</w:t>
            </w:r>
          </w:p>
        </w:tc>
        <w:tc>
          <w:tcPr>
            <w:tcW w:w="3120" w:type="dxa"/>
          </w:tcPr>
          <w:p w14:paraId="00001221" w14:textId="77777777" w:rsidR="00970BBD" w:rsidRDefault="003E79B6">
            <w:r>
              <w:rPr>
                <w:sz w:val="20"/>
                <w:szCs w:val="20"/>
              </w:rPr>
              <w:t>Provides customs facilitation and security escorts</w:t>
            </w:r>
          </w:p>
        </w:tc>
        <w:tc>
          <w:tcPr>
            <w:tcW w:w="3120" w:type="dxa"/>
          </w:tcPr>
          <w:p w14:paraId="00001222" w14:textId="5C2D6938" w:rsidR="00970BBD" w:rsidRDefault="003E79B6">
            <w:r>
              <w:rPr>
                <w:sz w:val="20"/>
                <w:szCs w:val="20"/>
              </w:rPr>
              <w:t>Provide tracking data to LOGISTICS Platform</w:t>
            </w:r>
          </w:p>
        </w:tc>
      </w:tr>
      <w:tr w:rsidR="00970BBD" w14:paraId="0AA30D26" w14:textId="77777777">
        <w:tc>
          <w:tcPr>
            <w:tcW w:w="3120" w:type="dxa"/>
          </w:tcPr>
          <w:p w14:paraId="00001223" w14:textId="77777777" w:rsidR="00970BBD" w:rsidRDefault="003E79B6">
            <w:r>
              <w:rPr>
                <w:sz w:val="20"/>
                <w:szCs w:val="20"/>
              </w:rPr>
              <w:t>Monitors corridor status (8.4-A)</w:t>
            </w:r>
          </w:p>
        </w:tc>
        <w:tc>
          <w:tcPr>
            <w:tcW w:w="3120" w:type="dxa"/>
          </w:tcPr>
          <w:p w14:paraId="00001224" w14:textId="77777777" w:rsidR="00970BBD" w:rsidRDefault="003E79B6">
            <w:r>
              <w:rPr>
                <w:sz w:val="20"/>
                <w:szCs w:val="20"/>
              </w:rPr>
              <w:t>Issues GRN on receipt (8.2-B)</w:t>
            </w:r>
          </w:p>
        </w:tc>
        <w:tc>
          <w:tcPr>
            <w:tcW w:w="3120" w:type="dxa"/>
          </w:tcPr>
          <w:p w14:paraId="00001225" w14:textId="77777777" w:rsidR="00970BBD" w:rsidRDefault="003E79B6">
            <w:r>
              <w:rPr>
                <w:sz w:val="20"/>
                <w:szCs w:val="20"/>
              </w:rPr>
              <w:t>Coordinate last-mile with local logistics partners</w:t>
            </w:r>
          </w:p>
        </w:tc>
      </w:tr>
      <w:tr w:rsidR="00970BBD" w14:paraId="2C3C3369" w14:textId="77777777">
        <w:tc>
          <w:tcPr>
            <w:tcW w:w="3120" w:type="dxa"/>
          </w:tcPr>
          <w:p w14:paraId="00001226" w14:textId="77777777" w:rsidR="00970BBD" w:rsidRDefault="003E79B6">
            <w:r>
              <w:rPr>
                <w:sz w:val="20"/>
                <w:szCs w:val="20"/>
              </w:rPr>
              <w:t>Consolidates transport KPIs (8.4-N)</w:t>
            </w:r>
          </w:p>
        </w:tc>
        <w:tc>
          <w:tcPr>
            <w:tcW w:w="3120" w:type="dxa"/>
          </w:tcPr>
          <w:p w14:paraId="00001227" w14:textId="77777777" w:rsidR="00970BBD" w:rsidRDefault="003E79B6">
            <w:r>
              <w:rPr>
                <w:sz w:val="20"/>
                <w:szCs w:val="20"/>
              </w:rPr>
              <w:t>Reports discrepancies (</w:t>
            </w:r>
            <w:hyperlink w:anchor="_heading=h.2986flpk3xb2">
              <w:r>
                <w:rPr>
                  <w:color w:val="0563C1"/>
                  <w:sz w:val="20"/>
                  <w:szCs w:val="20"/>
                  <w:u w:val="single"/>
                </w:rPr>
                <w:t>8.5-C</w:t>
              </w:r>
            </w:hyperlink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</w:tcPr>
          <w:p w14:paraId="00001228" w14:textId="77777777" w:rsidR="00970BBD" w:rsidRDefault="003E79B6">
            <w:r>
              <w:rPr>
                <w:sz w:val="20"/>
                <w:szCs w:val="20"/>
              </w:rPr>
              <w:t>Support cross-border corridor management</w:t>
            </w:r>
          </w:p>
        </w:tc>
      </w:tr>
    </w:tbl>
    <w:p w14:paraId="00001229" w14:textId="77777777" w:rsidR="00970BBD" w:rsidRDefault="003E79B6">
      <w:pPr>
        <w:spacing w:before="80" w:after="80"/>
      </w:pPr>
      <w:r>
        <w:rPr>
          <w:color w:val="000000"/>
        </w:rPr>
        <w:t>[Insert PlantUML or Visio diagram here — render from SOP_SCM_v7_Three_Party_Logistics.puml]</w:t>
      </w:r>
    </w:p>
    <w:tbl>
      <w:tblPr>
        <w:tblStyle w:val="73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1C8D1D5C" w14:textId="77777777">
        <w:tc>
          <w:tcPr>
            <w:tcW w:w="3120" w:type="dxa"/>
            <w:shd w:val="clear" w:color="auto" w:fill="D5E8F0"/>
          </w:tcPr>
          <w:p w14:paraId="0000122A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22B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22C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6CAC2092" w14:textId="77777777">
        <w:tc>
          <w:tcPr>
            <w:tcW w:w="3120" w:type="dxa"/>
          </w:tcPr>
          <w:p w14:paraId="0000122D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22E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22F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226A6C30" w14:textId="77777777">
        <w:tc>
          <w:tcPr>
            <w:tcW w:w="3120" w:type="dxa"/>
          </w:tcPr>
          <w:p w14:paraId="00001230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231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232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7C53D89" w14:textId="77777777">
        <w:tc>
          <w:tcPr>
            <w:tcW w:w="3120" w:type="dxa"/>
          </w:tcPr>
          <w:p w14:paraId="00001233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23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23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