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3AD" w14:textId="77777777" w:rsidR="00970BBD" w:rsidRDefault="003E79B6">
      <w:pPr>
        <w:pStyle w:val="Heading1"/>
        <w:pageBreakBefore/>
      </w:pPr>
      <w:bookmarkStart w:id="190" w:name="_heading=h.44m9138yxgi" w:colFirst="0" w:colLast="0"/>
      <w:bookmarkStart w:id="191" w:name="_Toc224798324"/>
      <w:bookmarkEnd w:id="190"/>
      <w:r>
        <w:lastRenderedPageBreak/>
        <w:t>Annex 8.4-R: Border Flow Monitoring Report Template</w:t>
      </w:r>
      <w:bookmarkEnd w:id="191"/>
    </w:p>
    <w:p w14:paraId="000013AE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Purpose: </w:t>
      </w:r>
      <w:r>
        <w:rPr>
          <w:color w:val="000000"/>
        </w:rPr>
        <w:t>Track and report humanitarian cargo flow through SADC border crossing points, measuring transit times, bottlenecks, and customs processing efficiency.</w:t>
      </w:r>
    </w:p>
    <w:p w14:paraId="000013AF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Reference: </w:t>
      </w:r>
      <w:r>
        <w:rPr>
          <w:color w:val="000000"/>
        </w:rPr>
        <w:t>SOP Section 5.5 │ Corridor Status Matrix (8.4-A) │ Output: BFM-RPT-01</w:t>
      </w:r>
    </w:p>
    <w:tbl>
      <w:tblPr>
        <w:tblStyle w:val="66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6240"/>
      </w:tblGrid>
      <w:tr w:rsidR="00970BBD" w14:paraId="653DBF19" w14:textId="77777777">
        <w:tc>
          <w:tcPr>
            <w:tcW w:w="3120" w:type="dxa"/>
            <w:shd w:val="clear" w:color="auto" w:fill="D5E8F0"/>
          </w:tcPr>
          <w:p w14:paraId="000013B0" w14:textId="77777777" w:rsidR="00970BBD" w:rsidRDefault="003E79B6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240" w:type="dxa"/>
            <w:shd w:val="clear" w:color="auto" w:fill="D5E8F0"/>
          </w:tcPr>
          <w:p w14:paraId="000013B1" w14:textId="77777777" w:rsidR="00970BBD" w:rsidRDefault="003E79B6">
            <w:r>
              <w:rPr>
                <w:b/>
                <w:bCs/>
                <w:sz w:val="20"/>
                <w:szCs w:val="20"/>
              </w:rPr>
              <w:t>Entry</w:t>
            </w:r>
          </w:p>
        </w:tc>
      </w:tr>
      <w:tr w:rsidR="00970BBD" w14:paraId="0CD916F9" w14:textId="77777777">
        <w:tc>
          <w:tcPr>
            <w:tcW w:w="3120" w:type="dxa"/>
          </w:tcPr>
          <w:p w14:paraId="000013B2" w14:textId="77777777" w:rsidR="00970BBD" w:rsidRDefault="003E79B6">
            <w:r>
              <w:rPr>
                <w:sz w:val="20"/>
                <w:szCs w:val="20"/>
              </w:rPr>
              <w:t>Report Reference</w:t>
            </w:r>
          </w:p>
        </w:tc>
        <w:tc>
          <w:tcPr>
            <w:tcW w:w="6240" w:type="dxa"/>
          </w:tcPr>
          <w:p w14:paraId="000013B3" w14:textId="77777777" w:rsidR="00970BBD" w:rsidRDefault="003E79B6">
            <w:r>
              <w:rPr>
                <w:sz w:val="20"/>
                <w:szCs w:val="20"/>
              </w:rPr>
              <w:t>BFM-[YEAR]-[SEQ]</w:t>
            </w:r>
          </w:p>
        </w:tc>
      </w:tr>
      <w:tr w:rsidR="00970BBD" w14:paraId="7F530FB7" w14:textId="77777777">
        <w:tc>
          <w:tcPr>
            <w:tcW w:w="3120" w:type="dxa"/>
          </w:tcPr>
          <w:p w14:paraId="000013B4" w14:textId="77777777" w:rsidR="00970BBD" w:rsidRDefault="003E79B6">
            <w:r>
              <w:rPr>
                <w:sz w:val="20"/>
                <w:szCs w:val="20"/>
              </w:rPr>
              <w:t>Reporting Period</w:t>
            </w:r>
          </w:p>
        </w:tc>
        <w:tc>
          <w:tcPr>
            <w:tcW w:w="6240" w:type="dxa"/>
          </w:tcPr>
          <w:p w14:paraId="000013B5" w14:textId="77777777" w:rsidR="00970BBD" w:rsidRDefault="00970BBD"/>
        </w:tc>
      </w:tr>
      <w:tr w:rsidR="00970BBD" w14:paraId="308EE7B4" w14:textId="77777777">
        <w:tc>
          <w:tcPr>
            <w:tcW w:w="3120" w:type="dxa"/>
          </w:tcPr>
          <w:p w14:paraId="000013B6" w14:textId="77777777" w:rsidR="00970BBD" w:rsidRDefault="003E79B6">
            <w:r>
              <w:rPr>
                <w:sz w:val="20"/>
                <w:szCs w:val="20"/>
              </w:rPr>
              <w:t>Corridor</w:t>
            </w:r>
          </w:p>
        </w:tc>
        <w:tc>
          <w:tcPr>
            <w:tcW w:w="6240" w:type="dxa"/>
          </w:tcPr>
          <w:p w14:paraId="000013B7" w14:textId="77777777" w:rsidR="00970BBD" w:rsidRDefault="00970BBD"/>
        </w:tc>
      </w:tr>
      <w:tr w:rsidR="00970BBD" w14:paraId="755BA068" w14:textId="77777777">
        <w:tc>
          <w:tcPr>
            <w:tcW w:w="3120" w:type="dxa"/>
          </w:tcPr>
          <w:p w14:paraId="000013B8" w14:textId="77777777" w:rsidR="00970BBD" w:rsidRDefault="003E79B6">
            <w:r>
              <w:rPr>
                <w:sz w:val="20"/>
                <w:szCs w:val="20"/>
              </w:rPr>
              <w:t>Border Crossing Point</w:t>
            </w:r>
          </w:p>
        </w:tc>
        <w:tc>
          <w:tcPr>
            <w:tcW w:w="6240" w:type="dxa"/>
          </w:tcPr>
          <w:p w14:paraId="000013B9" w14:textId="77777777" w:rsidR="00970BBD" w:rsidRDefault="00970BBD"/>
        </w:tc>
      </w:tr>
    </w:tbl>
    <w:p w14:paraId="000013BA" w14:textId="77777777" w:rsidR="00970BBD" w:rsidRDefault="003E79B6">
      <w:pPr>
        <w:pStyle w:val="Heading2"/>
      </w:pPr>
      <w:bookmarkStart w:id="192" w:name="_Toc224798325"/>
      <w:r>
        <w:t>Flow Data</w:t>
      </w:r>
      <w:bookmarkEnd w:id="192"/>
    </w:p>
    <w:tbl>
      <w:tblPr>
        <w:tblStyle w:val="65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1320"/>
        <w:gridCol w:w="1320"/>
        <w:gridCol w:w="1320"/>
        <w:gridCol w:w="1320"/>
        <w:gridCol w:w="1560"/>
        <w:gridCol w:w="1320"/>
        <w:gridCol w:w="1200"/>
      </w:tblGrid>
      <w:tr w:rsidR="00970BBD" w14:paraId="5725A293" w14:textId="77777777">
        <w:tc>
          <w:tcPr>
            <w:tcW w:w="1320" w:type="dxa"/>
            <w:shd w:val="clear" w:color="auto" w:fill="D5E8F0"/>
          </w:tcPr>
          <w:p w14:paraId="000013BB" w14:textId="77777777" w:rsidR="00970BBD" w:rsidRDefault="003E79B6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320" w:type="dxa"/>
            <w:shd w:val="clear" w:color="auto" w:fill="D5E8F0"/>
          </w:tcPr>
          <w:p w14:paraId="000013BC" w14:textId="77777777" w:rsidR="00970BBD" w:rsidRDefault="003E79B6">
            <w:r>
              <w:rPr>
                <w:b/>
                <w:bCs/>
                <w:sz w:val="20"/>
                <w:szCs w:val="20"/>
              </w:rPr>
              <w:t>Consignment Ref</w:t>
            </w:r>
          </w:p>
        </w:tc>
        <w:tc>
          <w:tcPr>
            <w:tcW w:w="1320" w:type="dxa"/>
            <w:shd w:val="clear" w:color="auto" w:fill="D5E8F0"/>
          </w:tcPr>
          <w:p w14:paraId="000013BD" w14:textId="77777777" w:rsidR="00970BBD" w:rsidRDefault="003E79B6">
            <w:r>
              <w:rPr>
                <w:b/>
                <w:bCs/>
                <w:sz w:val="20"/>
                <w:szCs w:val="20"/>
              </w:rPr>
              <w:t>E-Waybill Ref</w:t>
            </w:r>
          </w:p>
        </w:tc>
        <w:tc>
          <w:tcPr>
            <w:tcW w:w="1320" w:type="dxa"/>
            <w:shd w:val="clear" w:color="auto" w:fill="D5E8F0"/>
          </w:tcPr>
          <w:p w14:paraId="000013BE" w14:textId="77777777" w:rsidR="00970BBD" w:rsidRDefault="003E79B6">
            <w:r>
              <w:rPr>
                <w:b/>
                <w:bCs/>
                <w:sz w:val="20"/>
                <w:szCs w:val="20"/>
              </w:rPr>
              <w:t>Arrival at Border</w:t>
            </w:r>
          </w:p>
        </w:tc>
        <w:tc>
          <w:tcPr>
            <w:tcW w:w="1560" w:type="dxa"/>
            <w:shd w:val="clear" w:color="auto" w:fill="D5E8F0"/>
          </w:tcPr>
          <w:p w14:paraId="000013BF" w14:textId="77777777" w:rsidR="00970BBD" w:rsidRDefault="003E79B6">
            <w:r>
              <w:rPr>
                <w:b/>
                <w:bCs/>
                <w:sz w:val="20"/>
                <w:szCs w:val="20"/>
              </w:rPr>
              <w:t>Customs Clearance Time</w:t>
            </w:r>
          </w:p>
        </w:tc>
        <w:tc>
          <w:tcPr>
            <w:tcW w:w="1320" w:type="dxa"/>
            <w:shd w:val="clear" w:color="auto" w:fill="D5E8F0"/>
          </w:tcPr>
          <w:p w14:paraId="000013C0" w14:textId="77777777" w:rsidR="00970BBD" w:rsidRDefault="003E79B6">
            <w:r>
              <w:rPr>
                <w:b/>
                <w:bCs/>
                <w:sz w:val="20"/>
                <w:szCs w:val="20"/>
              </w:rPr>
              <w:t>Departure Time</w:t>
            </w:r>
          </w:p>
        </w:tc>
        <w:tc>
          <w:tcPr>
            <w:tcW w:w="1200" w:type="dxa"/>
            <w:shd w:val="clear" w:color="auto" w:fill="D5E8F0"/>
          </w:tcPr>
          <w:p w14:paraId="000013C1" w14:textId="77777777" w:rsidR="00970BBD" w:rsidRDefault="003E79B6">
            <w:r>
              <w:rPr>
                <w:b/>
                <w:bCs/>
                <w:sz w:val="20"/>
                <w:szCs w:val="20"/>
              </w:rPr>
              <w:t>Total Dwell (h)</w:t>
            </w:r>
          </w:p>
        </w:tc>
      </w:tr>
      <w:tr w:rsidR="00970BBD" w14:paraId="59DAD7B6" w14:textId="77777777">
        <w:tc>
          <w:tcPr>
            <w:tcW w:w="1320" w:type="dxa"/>
          </w:tcPr>
          <w:p w14:paraId="000013C2" w14:textId="77777777" w:rsidR="00970BBD" w:rsidRDefault="00970BBD"/>
        </w:tc>
        <w:tc>
          <w:tcPr>
            <w:tcW w:w="1320" w:type="dxa"/>
          </w:tcPr>
          <w:p w14:paraId="000013C3" w14:textId="77777777" w:rsidR="00970BBD" w:rsidRDefault="00970BBD"/>
        </w:tc>
        <w:tc>
          <w:tcPr>
            <w:tcW w:w="1320" w:type="dxa"/>
          </w:tcPr>
          <w:p w14:paraId="000013C4" w14:textId="77777777" w:rsidR="00970BBD" w:rsidRDefault="00970BBD"/>
        </w:tc>
        <w:tc>
          <w:tcPr>
            <w:tcW w:w="1320" w:type="dxa"/>
          </w:tcPr>
          <w:p w14:paraId="000013C5" w14:textId="77777777" w:rsidR="00970BBD" w:rsidRDefault="00970BBD"/>
        </w:tc>
        <w:tc>
          <w:tcPr>
            <w:tcW w:w="1560" w:type="dxa"/>
          </w:tcPr>
          <w:p w14:paraId="000013C6" w14:textId="77777777" w:rsidR="00970BBD" w:rsidRDefault="00970BBD"/>
        </w:tc>
        <w:tc>
          <w:tcPr>
            <w:tcW w:w="1320" w:type="dxa"/>
          </w:tcPr>
          <w:p w14:paraId="000013C7" w14:textId="77777777" w:rsidR="00970BBD" w:rsidRDefault="00970BBD"/>
        </w:tc>
        <w:tc>
          <w:tcPr>
            <w:tcW w:w="1200" w:type="dxa"/>
          </w:tcPr>
          <w:p w14:paraId="000013C8" w14:textId="77777777" w:rsidR="00970BBD" w:rsidRDefault="00970BBD"/>
        </w:tc>
      </w:tr>
      <w:tr w:rsidR="00970BBD" w14:paraId="3B925A0D" w14:textId="77777777">
        <w:tc>
          <w:tcPr>
            <w:tcW w:w="1320" w:type="dxa"/>
          </w:tcPr>
          <w:p w14:paraId="000013C9" w14:textId="77777777" w:rsidR="00970BBD" w:rsidRDefault="00970BBD"/>
        </w:tc>
        <w:tc>
          <w:tcPr>
            <w:tcW w:w="1320" w:type="dxa"/>
          </w:tcPr>
          <w:p w14:paraId="000013CA" w14:textId="77777777" w:rsidR="00970BBD" w:rsidRDefault="00970BBD"/>
        </w:tc>
        <w:tc>
          <w:tcPr>
            <w:tcW w:w="1320" w:type="dxa"/>
          </w:tcPr>
          <w:p w14:paraId="000013CB" w14:textId="77777777" w:rsidR="00970BBD" w:rsidRDefault="00970BBD"/>
        </w:tc>
        <w:tc>
          <w:tcPr>
            <w:tcW w:w="1320" w:type="dxa"/>
          </w:tcPr>
          <w:p w14:paraId="000013CC" w14:textId="77777777" w:rsidR="00970BBD" w:rsidRDefault="00970BBD"/>
        </w:tc>
        <w:tc>
          <w:tcPr>
            <w:tcW w:w="1560" w:type="dxa"/>
          </w:tcPr>
          <w:p w14:paraId="000013CD" w14:textId="77777777" w:rsidR="00970BBD" w:rsidRDefault="00970BBD"/>
        </w:tc>
        <w:tc>
          <w:tcPr>
            <w:tcW w:w="1320" w:type="dxa"/>
          </w:tcPr>
          <w:p w14:paraId="000013CE" w14:textId="77777777" w:rsidR="00970BBD" w:rsidRDefault="00970BBD"/>
        </w:tc>
        <w:tc>
          <w:tcPr>
            <w:tcW w:w="1200" w:type="dxa"/>
          </w:tcPr>
          <w:p w14:paraId="000013CF" w14:textId="77777777" w:rsidR="00970BBD" w:rsidRDefault="00970BBD"/>
        </w:tc>
      </w:tr>
      <w:tr w:rsidR="00970BBD" w14:paraId="78958501" w14:textId="77777777">
        <w:tc>
          <w:tcPr>
            <w:tcW w:w="1320" w:type="dxa"/>
          </w:tcPr>
          <w:p w14:paraId="000013D0" w14:textId="77777777" w:rsidR="00970BBD" w:rsidRDefault="00970BBD"/>
        </w:tc>
        <w:tc>
          <w:tcPr>
            <w:tcW w:w="1320" w:type="dxa"/>
          </w:tcPr>
          <w:p w14:paraId="000013D1" w14:textId="77777777" w:rsidR="00970BBD" w:rsidRDefault="00970BBD"/>
        </w:tc>
        <w:tc>
          <w:tcPr>
            <w:tcW w:w="1320" w:type="dxa"/>
          </w:tcPr>
          <w:p w14:paraId="000013D2" w14:textId="77777777" w:rsidR="00970BBD" w:rsidRDefault="00970BBD"/>
        </w:tc>
        <w:tc>
          <w:tcPr>
            <w:tcW w:w="1320" w:type="dxa"/>
          </w:tcPr>
          <w:p w14:paraId="000013D3" w14:textId="77777777" w:rsidR="00970BBD" w:rsidRDefault="00970BBD"/>
        </w:tc>
        <w:tc>
          <w:tcPr>
            <w:tcW w:w="1560" w:type="dxa"/>
          </w:tcPr>
          <w:p w14:paraId="000013D4" w14:textId="77777777" w:rsidR="00970BBD" w:rsidRDefault="00970BBD"/>
        </w:tc>
        <w:tc>
          <w:tcPr>
            <w:tcW w:w="1320" w:type="dxa"/>
          </w:tcPr>
          <w:p w14:paraId="000013D5" w14:textId="77777777" w:rsidR="00970BBD" w:rsidRDefault="00970BBD"/>
        </w:tc>
        <w:tc>
          <w:tcPr>
            <w:tcW w:w="1200" w:type="dxa"/>
          </w:tcPr>
          <w:p w14:paraId="000013D6" w14:textId="77777777" w:rsidR="00970BBD" w:rsidRDefault="00970BBD"/>
        </w:tc>
      </w:tr>
    </w:tbl>
    <w:p w14:paraId="000013D7" w14:textId="77777777" w:rsidR="00970BBD" w:rsidRDefault="003E79B6">
      <w:pPr>
        <w:pStyle w:val="Heading2"/>
      </w:pPr>
      <w:bookmarkStart w:id="193" w:name="_Toc224798326"/>
      <w:r>
        <w:t>Analysis</w:t>
      </w:r>
      <w:bookmarkEnd w:id="193"/>
    </w:p>
    <w:p w14:paraId="000013D8" w14:textId="77777777" w:rsidR="00970BBD" w:rsidRDefault="00000000">
      <w:pPr>
        <w:spacing w:before="80" w:after="80"/>
      </w:pPr>
      <w:sdt>
        <w:sdtPr>
          <w:tag w:val="goog_rdk_652"/>
          <w:id w:val="123705055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Average dwell time: ___ hours │ Target: ≤6 hours │ Bottleneck identified: □ Documentation □ Inspection □ Payment □ Capacity □ Other. Recommendations feed Corridor Status Matrix (8.4-A) updates and CBCC Logistics Corridor Status Report (</w:t>
          </w:r>
        </w:sdtContent>
      </w:sdt>
      <w:hyperlink w:anchor="_heading=h.smr7bnozzik7">
        <w:r>
          <w:rPr>
            <w:color w:val="0563C1"/>
            <w:u w:val="single"/>
          </w:rPr>
          <w:t>8.4-S</w:t>
        </w:r>
      </w:hyperlink>
      <w:r>
        <w:rPr>
          <w:color w:val="000000"/>
        </w:rPr>
        <w:t>).</w:t>
      </w:r>
    </w:p>
    <w:tbl>
      <w:tblPr>
        <w:tblStyle w:val="64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970BBD" w14:paraId="1B1C60DD" w14:textId="77777777">
        <w:tc>
          <w:tcPr>
            <w:tcW w:w="3120" w:type="dxa"/>
            <w:shd w:val="clear" w:color="auto" w:fill="D5E8F0"/>
          </w:tcPr>
          <w:p w14:paraId="000013D9" w14:textId="77777777" w:rsidR="00970BBD" w:rsidRDefault="003E79B6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120" w:type="dxa"/>
            <w:shd w:val="clear" w:color="auto" w:fill="D5E8F0"/>
          </w:tcPr>
          <w:p w14:paraId="000013DA" w14:textId="77777777" w:rsidR="00970BBD" w:rsidRDefault="003E79B6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120" w:type="dxa"/>
            <w:shd w:val="clear" w:color="auto" w:fill="D5E8F0"/>
          </w:tcPr>
          <w:p w14:paraId="000013DB" w14:textId="77777777" w:rsidR="00970BBD" w:rsidRDefault="003E79B6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970BBD" w14:paraId="2ABCCE89" w14:textId="77777777">
        <w:tc>
          <w:tcPr>
            <w:tcW w:w="3120" w:type="dxa"/>
          </w:tcPr>
          <w:p w14:paraId="000013DC" w14:textId="77777777" w:rsidR="00970BBD" w:rsidRDefault="003E79B6">
            <w:r>
              <w:rPr>
                <w:sz w:val="20"/>
                <w:szCs w:val="20"/>
              </w:rPr>
              <w:t>Prepared By:</w:t>
            </w:r>
          </w:p>
        </w:tc>
        <w:tc>
          <w:tcPr>
            <w:tcW w:w="3120" w:type="dxa"/>
          </w:tcPr>
          <w:p w14:paraId="000013DD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3DE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284C25DA" w14:textId="77777777">
        <w:tc>
          <w:tcPr>
            <w:tcW w:w="3120" w:type="dxa"/>
          </w:tcPr>
          <w:p w14:paraId="000013DF" w14:textId="77777777" w:rsidR="00970BBD" w:rsidRDefault="003E79B6">
            <w:r>
              <w:rPr>
                <w:sz w:val="20"/>
                <w:szCs w:val="20"/>
              </w:rPr>
              <w:t>Reviewed By:</w:t>
            </w:r>
          </w:p>
        </w:tc>
        <w:tc>
          <w:tcPr>
            <w:tcW w:w="3120" w:type="dxa"/>
          </w:tcPr>
          <w:p w14:paraId="000013E0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3E1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0C54EBFF" w14:textId="77777777">
        <w:tc>
          <w:tcPr>
            <w:tcW w:w="3120" w:type="dxa"/>
          </w:tcPr>
          <w:p w14:paraId="000013E2" w14:textId="77777777" w:rsidR="00970BBD" w:rsidRDefault="003E79B6">
            <w:r>
              <w:rPr>
                <w:sz w:val="20"/>
                <w:szCs w:val="20"/>
              </w:rPr>
              <w:t>Approved By:</w:t>
            </w:r>
          </w:p>
        </w:tc>
        <w:tc>
          <w:tcPr>
            <w:tcW w:w="3120" w:type="dxa"/>
          </w:tcPr>
          <w:p w14:paraId="000013E3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3E4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