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3E5" w14:textId="77777777" w:rsidR="00970BBD" w:rsidRDefault="003E79B6">
      <w:pPr>
        <w:pStyle w:val="Heading1"/>
        <w:pageBreakBefore/>
      </w:pPr>
      <w:bookmarkStart w:id="194" w:name="_heading=h.smr7bnozzik7" w:colFirst="0" w:colLast="0"/>
      <w:bookmarkStart w:id="195" w:name="_Toc224798327"/>
      <w:bookmarkEnd w:id="194"/>
      <w:r>
        <w:lastRenderedPageBreak/>
        <w:t>Annex 8.4-S: CBCC Logistics Corridor Status Report Template</w:t>
      </w:r>
      <w:bookmarkEnd w:id="195"/>
    </w:p>
    <w:p w14:paraId="000013E6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Consolidated logistics corridor status report for Cross-Border Coordination Cell (CBCC) operations per SOP Volume 4 Section 4.4 (Transboundary Cooperation), integrating corridor data from multiple border points.</w:t>
      </w:r>
    </w:p>
    <w:p w14:paraId="000013E7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5.5 │ Volume 4 SOP 4.4 │ Output: CBCC-LOG-01</w:t>
      </w:r>
    </w:p>
    <w:tbl>
      <w:tblPr>
        <w:tblStyle w:val="63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30EE5A46" w14:textId="77777777">
        <w:tc>
          <w:tcPr>
            <w:tcW w:w="3120" w:type="dxa"/>
            <w:shd w:val="clear" w:color="auto" w:fill="D5E8F0"/>
          </w:tcPr>
          <w:p w14:paraId="000013E8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3E9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4309F197" w14:textId="77777777">
        <w:tc>
          <w:tcPr>
            <w:tcW w:w="3120" w:type="dxa"/>
          </w:tcPr>
          <w:p w14:paraId="000013EA" w14:textId="77777777" w:rsidR="00970BBD" w:rsidRDefault="003E79B6">
            <w:r>
              <w:rPr>
                <w:sz w:val="20"/>
                <w:szCs w:val="20"/>
              </w:rPr>
              <w:t>Report Reference</w:t>
            </w:r>
          </w:p>
        </w:tc>
        <w:tc>
          <w:tcPr>
            <w:tcW w:w="6240" w:type="dxa"/>
          </w:tcPr>
          <w:p w14:paraId="000013EB" w14:textId="77777777" w:rsidR="00970BBD" w:rsidRDefault="003E79B6">
            <w:r>
              <w:rPr>
                <w:sz w:val="20"/>
                <w:szCs w:val="20"/>
              </w:rPr>
              <w:t>CBCC-LOG-[YEAR]-[SEQ]</w:t>
            </w:r>
          </w:p>
        </w:tc>
      </w:tr>
      <w:tr w:rsidR="00970BBD" w14:paraId="6F86169A" w14:textId="77777777">
        <w:tc>
          <w:tcPr>
            <w:tcW w:w="3120" w:type="dxa"/>
          </w:tcPr>
          <w:p w14:paraId="000013EC" w14:textId="77777777" w:rsidR="00970BBD" w:rsidRDefault="003E79B6">
            <w:r>
              <w:rPr>
                <w:sz w:val="20"/>
                <w:szCs w:val="20"/>
              </w:rPr>
              <w:t>Reporting Period</w:t>
            </w:r>
          </w:p>
        </w:tc>
        <w:tc>
          <w:tcPr>
            <w:tcW w:w="6240" w:type="dxa"/>
          </w:tcPr>
          <w:p w14:paraId="000013ED" w14:textId="77777777" w:rsidR="00970BBD" w:rsidRDefault="00970BBD"/>
        </w:tc>
      </w:tr>
      <w:tr w:rsidR="00970BBD" w14:paraId="061E0F9B" w14:textId="77777777">
        <w:tc>
          <w:tcPr>
            <w:tcW w:w="3120" w:type="dxa"/>
          </w:tcPr>
          <w:p w14:paraId="000013EE" w14:textId="77777777" w:rsidR="00970BBD" w:rsidRDefault="003E79B6">
            <w:r>
              <w:rPr>
                <w:sz w:val="20"/>
                <w:szCs w:val="20"/>
              </w:rPr>
              <w:t>CBCC Activation Reference</w:t>
            </w:r>
          </w:p>
        </w:tc>
        <w:tc>
          <w:tcPr>
            <w:tcW w:w="6240" w:type="dxa"/>
          </w:tcPr>
          <w:p w14:paraId="000013EF" w14:textId="77777777" w:rsidR="00970BBD" w:rsidRDefault="00970BBD"/>
        </w:tc>
      </w:tr>
      <w:tr w:rsidR="00970BBD" w14:paraId="4A4951F3" w14:textId="77777777">
        <w:tc>
          <w:tcPr>
            <w:tcW w:w="3120" w:type="dxa"/>
          </w:tcPr>
          <w:p w14:paraId="000013F0" w14:textId="77777777" w:rsidR="00970BBD" w:rsidRDefault="003E79B6"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6240" w:type="dxa"/>
          </w:tcPr>
          <w:p w14:paraId="000013F1" w14:textId="77777777" w:rsidR="00970BBD" w:rsidRDefault="00970BBD"/>
        </w:tc>
      </w:tr>
    </w:tbl>
    <w:p w14:paraId="000013F2" w14:textId="77777777" w:rsidR="00970BBD" w:rsidRDefault="003E79B6">
      <w:pPr>
        <w:pStyle w:val="Heading2"/>
      </w:pPr>
      <w:bookmarkStart w:id="196" w:name="_Toc224798328"/>
      <w:r>
        <w:t>Corridor Status Summary</w:t>
      </w:r>
      <w:bookmarkEnd w:id="196"/>
    </w:p>
    <w:tbl>
      <w:tblPr>
        <w:tblStyle w:val="62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200"/>
        <w:gridCol w:w="1200"/>
        <w:gridCol w:w="1200"/>
        <w:gridCol w:w="1200"/>
        <w:gridCol w:w="1200"/>
        <w:gridCol w:w="1488"/>
      </w:tblGrid>
      <w:tr w:rsidR="00970BBD" w14:paraId="79D9AA4B" w14:textId="77777777">
        <w:tc>
          <w:tcPr>
            <w:tcW w:w="1872" w:type="dxa"/>
            <w:shd w:val="clear" w:color="auto" w:fill="D5E8F0"/>
          </w:tcPr>
          <w:p w14:paraId="000013F3" w14:textId="77777777" w:rsidR="00970BBD" w:rsidRDefault="003E79B6">
            <w:r>
              <w:rPr>
                <w:b/>
                <w:bCs/>
                <w:sz w:val="20"/>
                <w:szCs w:val="20"/>
              </w:rPr>
              <w:t>Corridor</w:t>
            </w:r>
          </w:p>
        </w:tc>
        <w:tc>
          <w:tcPr>
            <w:tcW w:w="1200" w:type="dxa"/>
            <w:shd w:val="clear" w:color="auto" w:fill="D5E8F0"/>
          </w:tcPr>
          <w:p w14:paraId="000013F4" w14:textId="77777777" w:rsidR="00970BBD" w:rsidRDefault="003E79B6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200" w:type="dxa"/>
            <w:shd w:val="clear" w:color="auto" w:fill="D5E8F0"/>
          </w:tcPr>
          <w:p w14:paraId="000013F5" w14:textId="77777777" w:rsidR="00970BBD" w:rsidRDefault="003E79B6">
            <w:r>
              <w:rPr>
                <w:b/>
                <w:bCs/>
                <w:sz w:val="20"/>
                <w:szCs w:val="20"/>
              </w:rPr>
              <w:t>Avg Transit (h)</w:t>
            </w:r>
          </w:p>
        </w:tc>
        <w:tc>
          <w:tcPr>
            <w:tcW w:w="1200" w:type="dxa"/>
            <w:shd w:val="clear" w:color="auto" w:fill="D5E8F0"/>
          </w:tcPr>
          <w:p w14:paraId="000013F6" w14:textId="77777777" w:rsidR="00970BBD" w:rsidRDefault="003E79B6">
            <w:r>
              <w:rPr>
                <w:b/>
                <w:bCs/>
                <w:sz w:val="20"/>
                <w:szCs w:val="20"/>
              </w:rPr>
              <w:t>Capacity (%)</w:t>
            </w:r>
          </w:p>
        </w:tc>
        <w:tc>
          <w:tcPr>
            <w:tcW w:w="1200" w:type="dxa"/>
            <w:shd w:val="clear" w:color="auto" w:fill="D5E8F0"/>
          </w:tcPr>
          <w:p w14:paraId="000013F7" w14:textId="77777777" w:rsidR="00970BBD" w:rsidRDefault="003E79B6">
            <w:r>
              <w:rPr>
                <w:b/>
                <w:bCs/>
                <w:sz w:val="20"/>
                <w:szCs w:val="20"/>
              </w:rPr>
              <w:t>Bottleneck</w:t>
            </w:r>
          </w:p>
        </w:tc>
        <w:tc>
          <w:tcPr>
            <w:tcW w:w="1200" w:type="dxa"/>
            <w:shd w:val="clear" w:color="auto" w:fill="D5E8F0"/>
          </w:tcPr>
          <w:p w14:paraId="000013F8" w14:textId="77777777" w:rsidR="00970BBD" w:rsidRDefault="003E79B6">
            <w:r>
              <w:rPr>
                <w:b/>
                <w:bCs/>
                <w:sz w:val="20"/>
                <w:szCs w:val="20"/>
              </w:rPr>
              <w:t>Risk Level</w:t>
            </w:r>
          </w:p>
        </w:tc>
        <w:tc>
          <w:tcPr>
            <w:tcW w:w="1488" w:type="dxa"/>
            <w:shd w:val="clear" w:color="auto" w:fill="D5E8F0"/>
          </w:tcPr>
          <w:p w14:paraId="000013F9" w14:textId="77777777" w:rsidR="00970BBD" w:rsidRDefault="003E79B6">
            <w:r>
              <w:rPr>
                <w:b/>
                <w:bCs/>
                <w:sz w:val="20"/>
                <w:szCs w:val="20"/>
              </w:rPr>
              <w:t>Action Required</w:t>
            </w:r>
          </w:p>
        </w:tc>
      </w:tr>
      <w:tr w:rsidR="00970BBD" w14:paraId="2E670957" w14:textId="77777777">
        <w:tc>
          <w:tcPr>
            <w:tcW w:w="1872" w:type="dxa"/>
          </w:tcPr>
          <w:p w14:paraId="000013FA" w14:textId="77777777" w:rsidR="00970BBD" w:rsidRDefault="00970BBD"/>
        </w:tc>
        <w:tc>
          <w:tcPr>
            <w:tcW w:w="1200" w:type="dxa"/>
          </w:tcPr>
          <w:p w14:paraId="000013FB" w14:textId="77777777" w:rsidR="00970BBD" w:rsidRDefault="003E79B6">
            <w:r>
              <w:rPr>
                <w:sz w:val="20"/>
                <w:szCs w:val="20"/>
              </w:rPr>
              <w:t>□G □Y □R</w:t>
            </w:r>
          </w:p>
        </w:tc>
        <w:tc>
          <w:tcPr>
            <w:tcW w:w="1200" w:type="dxa"/>
          </w:tcPr>
          <w:p w14:paraId="000013FC" w14:textId="77777777" w:rsidR="00970BBD" w:rsidRDefault="00970BBD"/>
        </w:tc>
        <w:tc>
          <w:tcPr>
            <w:tcW w:w="1200" w:type="dxa"/>
          </w:tcPr>
          <w:p w14:paraId="000013FD" w14:textId="77777777" w:rsidR="00970BBD" w:rsidRDefault="00970BBD"/>
        </w:tc>
        <w:tc>
          <w:tcPr>
            <w:tcW w:w="1200" w:type="dxa"/>
          </w:tcPr>
          <w:p w14:paraId="000013FE" w14:textId="77777777" w:rsidR="00970BBD" w:rsidRDefault="00970BBD"/>
        </w:tc>
        <w:tc>
          <w:tcPr>
            <w:tcW w:w="1200" w:type="dxa"/>
          </w:tcPr>
          <w:p w14:paraId="000013FF" w14:textId="77777777" w:rsidR="00970BBD" w:rsidRDefault="003E79B6">
            <w:r>
              <w:rPr>
                <w:sz w:val="20"/>
                <w:szCs w:val="20"/>
              </w:rPr>
              <w:t>□L □M □H</w:t>
            </w:r>
          </w:p>
        </w:tc>
        <w:tc>
          <w:tcPr>
            <w:tcW w:w="1488" w:type="dxa"/>
          </w:tcPr>
          <w:p w14:paraId="00001400" w14:textId="77777777" w:rsidR="00970BBD" w:rsidRDefault="00970BBD"/>
        </w:tc>
      </w:tr>
      <w:tr w:rsidR="00970BBD" w14:paraId="41DE1F74" w14:textId="77777777">
        <w:tc>
          <w:tcPr>
            <w:tcW w:w="1872" w:type="dxa"/>
          </w:tcPr>
          <w:p w14:paraId="00001401" w14:textId="77777777" w:rsidR="00970BBD" w:rsidRDefault="00970BBD"/>
        </w:tc>
        <w:tc>
          <w:tcPr>
            <w:tcW w:w="1200" w:type="dxa"/>
          </w:tcPr>
          <w:p w14:paraId="00001402" w14:textId="77777777" w:rsidR="00970BBD" w:rsidRDefault="003E79B6">
            <w:r>
              <w:rPr>
                <w:sz w:val="20"/>
                <w:szCs w:val="20"/>
              </w:rPr>
              <w:t>□G □Y □R</w:t>
            </w:r>
          </w:p>
        </w:tc>
        <w:tc>
          <w:tcPr>
            <w:tcW w:w="1200" w:type="dxa"/>
          </w:tcPr>
          <w:p w14:paraId="00001403" w14:textId="77777777" w:rsidR="00970BBD" w:rsidRDefault="00970BBD"/>
        </w:tc>
        <w:tc>
          <w:tcPr>
            <w:tcW w:w="1200" w:type="dxa"/>
          </w:tcPr>
          <w:p w14:paraId="00001404" w14:textId="77777777" w:rsidR="00970BBD" w:rsidRDefault="00970BBD"/>
        </w:tc>
        <w:tc>
          <w:tcPr>
            <w:tcW w:w="1200" w:type="dxa"/>
          </w:tcPr>
          <w:p w14:paraId="00001405" w14:textId="77777777" w:rsidR="00970BBD" w:rsidRDefault="00970BBD"/>
        </w:tc>
        <w:tc>
          <w:tcPr>
            <w:tcW w:w="1200" w:type="dxa"/>
          </w:tcPr>
          <w:p w14:paraId="00001406" w14:textId="77777777" w:rsidR="00970BBD" w:rsidRDefault="003E79B6">
            <w:r>
              <w:rPr>
                <w:sz w:val="20"/>
                <w:szCs w:val="20"/>
              </w:rPr>
              <w:t>□L □M □H</w:t>
            </w:r>
          </w:p>
        </w:tc>
        <w:tc>
          <w:tcPr>
            <w:tcW w:w="1488" w:type="dxa"/>
          </w:tcPr>
          <w:p w14:paraId="00001407" w14:textId="77777777" w:rsidR="00970BBD" w:rsidRDefault="00970BBD"/>
        </w:tc>
      </w:tr>
      <w:tr w:rsidR="00970BBD" w14:paraId="01697E9C" w14:textId="77777777">
        <w:tc>
          <w:tcPr>
            <w:tcW w:w="1872" w:type="dxa"/>
          </w:tcPr>
          <w:p w14:paraId="00001408" w14:textId="77777777" w:rsidR="00970BBD" w:rsidRDefault="00970BBD"/>
        </w:tc>
        <w:tc>
          <w:tcPr>
            <w:tcW w:w="1200" w:type="dxa"/>
          </w:tcPr>
          <w:p w14:paraId="00001409" w14:textId="77777777" w:rsidR="00970BBD" w:rsidRDefault="003E79B6">
            <w:r>
              <w:rPr>
                <w:sz w:val="20"/>
                <w:szCs w:val="20"/>
              </w:rPr>
              <w:t>□G □Y □R</w:t>
            </w:r>
          </w:p>
        </w:tc>
        <w:tc>
          <w:tcPr>
            <w:tcW w:w="1200" w:type="dxa"/>
          </w:tcPr>
          <w:p w14:paraId="0000140A" w14:textId="77777777" w:rsidR="00970BBD" w:rsidRDefault="00970BBD"/>
        </w:tc>
        <w:tc>
          <w:tcPr>
            <w:tcW w:w="1200" w:type="dxa"/>
          </w:tcPr>
          <w:p w14:paraId="0000140B" w14:textId="77777777" w:rsidR="00970BBD" w:rsidRDefault="00970BBD"/>
        </w:tc>
        <w:tc>
          <w:tcPr>
            <w:tcW w:w="1200" w:type="dxa"/>
          </w:tcPr>
          <w:p w14:paraId="0000140C" w14:textId="77777777" w:rsidR="00970BBD" w:rsidRDefault="00970BBD"/>
        </w:tc>
        <w:tc>
          <w:tcPr>
            <w:tcW w:w="1200" w:type="dxa"/>
          </w:tcPr>
          <w:p w14:paraId="0000140D" w14:textId="77777777" w:rsidR="00970BBD" w:rsidRDefault="003E79B6">
            <w:r>
              <w:rPr>
                <w:sz w:val="20"/>
                <w:szCs w:val="20"/>
              </w:rPr>
              <w:t>□L □M □H</w:t>
            </w:r>
          </w:p>
        </w:tc>
        <w:tc>
          <w:tcPr>
            <w:tcW w:w="1488" w:type="dxa"/>
          </w:tcPr>
          <w:p w14:paraId="0000140E" w14:textId="77777777" w:rsidR="00970BBD" w:rsidRDefault="00970BBD"/>
        </w:tc>
      </w:tr>
    </w:tbl>
    <w:p w14:paraId="0000140F" w14:textId="77777777" w:rsidR="00970BBD" w:rsidRDefault="003E79B6">
      <w:pPr>
        <w:pStyle w:val="Heading2"/>
      </w:pPr>
      <w:bookmarkStart w:id="197" w:name="_Toc224798329"/>
      <w:r>
        <w:t>Recommendations to CBCC</w:t>
      </w:r>
      <w:bookmarkEnd w:id="197"/>
    </w:p>
    <w:p w14:paraId="00001410" w14:textId="77777777" w:rsidR="00970BBD" w:rsidRDefault="003E79B6">
      <w:pPr>
        <w:spacing w:before="80" w:after="80"/>
      </w:pPr>
      <w:r>
        <w:rPr>
          <w:color w:val="000000"/>
        </w:rPr>
        <w:t>Corridor prioritisation, alternative routing, partner logistics reallocation, and customs pre-clearance requirements. This report feeds the CB-SitRep (SOP 4.4 Annex X) logistics section.</w:t>
      </w:r>
    </w:p>
    <w:tbl>
      <w:tblPr>
        <w:tblStyle w:val="61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472AD580" w14:textId="77777777">
        <w:tc>
          <w:tcPr>
            <w:tcW w:w="3120" w:type="dxa"/>
            <w:shd w:val="clear" w:color="auto" w:fill="D5E8F0"/>
          </w:tcPr>
          <w:p w14:paraId="00001411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1412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413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514D7D7F" w14:textId="77777777">
        <w:tc>
          <w:tcPr>
            <w:tcW w:w="3120" w:type="dxa"/>
          </w:tcPr>
          <w:p w14:paraId="00001414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141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416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24D448F4" w14:textId="77777777">
        <w:tc>
          <w:tcPr>
            <w:tcW w:w="3120" w:type="dxa"/>
          </w:tcPr>
          <w:p w14:paraId="00001417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141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419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7EFF8DFB" w14:textId="77777777">
        <w:tc>
          <w:tcPr>
            <w:tcW w:w="3120" w:type="dxa"/>
          </w:tcPr>
          <w:p w14:paraId="0000141A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141B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41C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p w14:paraId="0000141D" w14:textId="77777777" w:rsidR="00970BBD" w:rsidRDefault="003E79B6">
      <w:pPr>
        <w:pageBreakBefore/>
        <w:pBdr>
          <w:bottom w:val="single" w:sz="6" w:space="8" w:color="00796B"/>
        </w:pBdr>
        <w:spacing w:before="600" w:after="200"/>
        <w:jc w:val="center"/>
      </w:pPr>
      <w:r>
        <w:rPr>
          <w:b/>
          <w:bCs/>
          <w:color w:val="1B3A5C"/>
          <w:sz w:val="32"/>
          <w:szCs w:val="32"/>
        </w:rPr>
        <w:lastRenderedPageBreak/>
        <w:t>SOP 8.5 ANNEXES: STOCKPILING AND LOGISTICS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