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7AD" w14:textId="77777777" w:rsidR="00970BBD" w:rsidRDefault="003E79B6">
      <w:pPr>
        <w:pStyle w:val="Heading1"/>
        <w:pageBreakBefore/>
      </w:pPr>
      <w:bookmarkStart w:id="230" w:name="_heading=h.keocf59ck5st" w:colFirst="0" w:colLast="0"/>
      <w:bookmarkStart w:id="231" w:name="_Toc224798351"/>
      <w:bookmarkEnd w:id="230"/>
      <w:r>
        <w:lastRenderedPageBreak/>
        <w:t>Annex 8.5-M: Annual Logistics Review Report Template</w:t>
      </w:r>
      <w:bookmarkEnd w:id="231"/>
    </w:p>
    <w:p w14:paraId="000017AE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Comprehensive annual review of SHOC logistics operations performance, covering warehouse, transport, pre-positioning, partner coordination, and systems effectiveness.</w:t>
      </w:r>
    </w:p>
    <w:p w14:paraId="000017AF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6.7 │ SADC Schedule 4 KPIs │ Output: ALR-RPT-01</w:t>
      </w:r>
    </w:p>
    <w:tbl>
      <w:tblPr>
        <w:tblStyle w:val="4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0960BCFE" w14:textId="77777777">
        <w:tc>
          <w:tcPr>
            <w:tcW w:w="3120" w:type="dxa"/>
            <w:shd w:val="clear" w:color="auto" w:fill="D5E8F0"/>
          </w:tcPr>
          <w:p w14:paraId="000017B0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7B1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5F3F0F73" w14:textId="77777777">
        <w:tc>
          <w:tcPr>
            <w:tcW w:w="3120" w:type="dxa"/>
          </w:tcPr>
          <w:p w14:paraId="000017B2" w14:textId="77777777" w:rsidR="00970BBD" w:rsidRDefault="003E79B6">
            <w:r>
              <w:rPr>
                <w:sz w:val="20"/>
                <w:szCs w:val="20"/>
              </w:rPr>
              <w:t>Report Reference</w:t>
            </w:r>
          </w:p>
        </w:tc>
        <w:tc>
          <w:tcPr>
            <w:tcW w:w="6240" w:type="dxa"/>
          </w:tcPr>
          <w:p w14:paraId="000017B3" w14:textId="77777777" w:rsidR="00970BBD" w:rsidRDefault="003E79B6">
            <w:r>
              <w:rPr>
                <w:sz w:val="20"/>
                <w:szCs w:val="20"/>
              </w:rPr>
              <w:t>ALR-[YEAR]</w:t>
            </w:r>
          </w:p>
        </w:tc>
      </w:tr>
      <w:tr w:rsidR="00970BBD" w14:paraId="11408AF1" w14:textId="77777777">
        <w:tc>
          <w:tcPr>
            <w:tcW w:w="3120" w:type="dxa"/>
          </w:tcPr>
          <w:p w14:paraId="000017B4" w14:textId="77777777" w:rsidR="00970BBD" w:rsidRDefault="003E79B6">
            <w:r>
              <w:rPr>
                <w:sz w:val="20"/>
                <w:szCs w:val="20"/>
              </w:rPr>
              <w:t>Reporting Period</w:t>
            </w:r>
          </w:p>
        </w:tc>
        <w:tc>
          <w:tcPr>
            <w:tcW w:w="6240" w:type="dxa"/>
          </w:tcPr>
          <w:p w14:paraId="000017B5" w14:textId="77777777" w:rsidR="00970BBD" w:rsidRDefault="003E79B6">
            <w:r>
              <w:rPr>
                <w:sz w:val="20"/>
                <w:szCs w:val="20"/>
              </w:rPr>
              <w:t>01 January – 31 December [YEAR]</w:t>
            </w:r>
          </w:p>
        </w:tc>
      </w:tr>
      <w:tr w:rsidR="00970BBD" w14:paraId="741F030F" w14:textId="77777777">
        <w:tc>
          <w:tcPr>
            <w:tcW w:w="3120" w:type="dxa"/>
          </w:tcPr>
          <w:p w14:paraId="000017B6" w14:textId="77777777" w:rsidR="00970BBD" w:rsidRDefault="003E79B6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6240" w:type="dxa"/>
          </w:tcPr>
          <w:p w14:paraId="000017B7" w14:textId="77777777" w:rsidR="00970BBD" w:rsidRDefault="00970BBD"/>
        </w:tc>
      </w:tr>
    </w:tbl>
    <w:p w14:paraId="000017B8" w14:textId="77777777" w:rsidR="00970BBD" w:rsidRDefault="003E79B6">
      <w:pPr>
        <w:pStyle w:val="Heading2"/>
      </w:pPr>
      <w:bookmarkStart w:id="232" w:name="_Toc224798352"/>
      <w:r>
        <w:t>KPI Performance Summary</w:t>
      </w:r>
      <w:bookmarkEnd w:id="232"/>
    </w:p>
    <w:tbl>
      <w:tblPr>
        <w:tblStyle w:val="39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760"/>
        <w:gridCol w:w="1560"/>
        <w:gridCol w:w="1560"/>
        <w:gridCol w:w="1560"/>
        <w:gridCol w:w="1320"/>
      </w:tblGrid>
      <w:tr w:rsidR="00970BBD" w14:paraId="64C5498A" w14:textId="77777777">
        <w:tc>
          <w:tcPr>
            <w:tcW w:w="600" w:type="dxa"/>
            <w:shd w:val="clear" w:color="auto" w:fill="D5E8F0"/>
          </w:tcPr>
          <w:p w14:paraId="000017B9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60" w:type="dxa"/>
            <w:shd w:val="clear" w:color="auto" w:fill="D5E8F0"/>
          </w:tcPr>
          <w:p w14:paraId="000017BA" w14:textId="77777777" w:rsidR="00970BBD" w:rsidRDefault="003E79B6">
            <w:r>
              <w:rPr>
                <w:b/>
                <w:bCs/>
                <w:sz w:val="20"/>
                <w:szCs w:val="20"/>
              </w:rPr>
              <w:t>KPI (per 8.4-N / Section 7.5)</w:t>
            </w:r>
          </w:p>
        </w:tc>
        <w:tc>
          <w:tcPr>
            <w:tcW w:w="1560" w:type="dxa"/>
            <w:shd w:val="clear" w:color="auto" w:fill="D5E8F0"/>
          </w:tcPr>
          <w:p w14:paraId="000017BB" w14:textId="77777777" w:rsidR="00970BBD" w:rsidRDefault="003E79B6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1560" w:type="dxa"/>
            <w:shd w:val="clear" w:color="auto" w:fill="D5E8F0"/>
          </w:tcPr>
          <w:p w14:paraId="000017BC" w14:textId="77777777" w:rsidR="00970BBD" w:rsidRDefault="003E79B6">
            <w:r>
              <w:rPr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1560" w:type="dxa"/>
            <w:shd w:val="clear" w:color="auto" w:fill="D5E8F0"/>
          </w:tcPr>
          <w:p w14:paraId="000017BD" w14:textId="77777777" w:rsidR="00970BBD" w:rsidRDefault="003E79B6">
            <w:r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1320" w:type="dxa"/>
            <w:shd w:val="clear" w:color="auto" w:fill="D5E8F0"/>
          </w:tcPr>
          <w:p w14:paraId="000017BE" w14:textId="77777777" w:rsidR="00970BBD" w:rsidRDefault="003E79B6">
            <w:r>
              <w:rPr>
                <w:b/>
                <w:bCs/>
                <w:sz w:val="20"/>
                <w:szCs w:val="20"/>
              </w:rPr>
              <w:t>Trend</w:t>
            </w:r>
          </w:p>
        </w:tc>
      </w:tr>
      <w:tr w:rsidR="00970BBD" w14:paraId="7FA30CF8" w14:textId="77777777">
        <w:tc>
          <w:tcPr>
            <w:tcW w:w="600" w:type="dxa"/>
          </w:tcPr>
          <w:p w14:paraId="000017BF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2760" w:type="dxa"/>
          </w:tcPr>
          <w:p w14:paraId="000017C0" w14:textId="77777777" w:rsidR="00970BBD" w:rsidRDefault="003E79B6">
            <w:r>
              <w:rPr>
                <w:sz w:val="20"/>
                <w:szCs w:val="20"/>
              </w:rPr>
              <w:t>Fleet Availability Rate</w:t>
            </w:r>
          </w:p>
        </w:tc>
        <w:tc>
          <w:tcPr>
            <w:tcW w:w="1560" w:type="dxa"/>
          </w:tcPr>
          <w:p w14:paraId="000017C1" w14:textId="77777777" w:rsidR="00970BBD" w:rsidRDefault="00000000">
            <w:sdt>
              <w:sdtPr>
                <w:tag w:val="goog_rdk_759"/>
                <w:id w:val="-1609312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≥90%</w:t>
                </w:r>
              </w:sdtContent>
            </w:sdt>
          </w:p>
        </w:tc>
        <w:tc>
          <w:tcPr>
            <w:tcW w:w="1560" w:type="dxa"/>
          </w:tcPr>
          <w:p w14:paraId="000017C2" w14:textId="77777777" w:rsidR="00970BBD" w:rsidRDefault="00970BBD"/>
        </w:tc>
        <w:tc>
          <w:tcPr>
            <w:tcW w:w="1560" w:type="dxa"/>
          </w:tcPr>
          <w:p w14:paraId="000017C3" w14:textId="77777777" w:rsidR="00970BBD" w:rsidRDefault="00970BBD"/>
        </w:tc>
        <w:tc>
          <w:tcPr>
            <w:tcW w:w="1320" w:type="dxa"/>
          </w:tcPr>
          <w:p w14:paraId="000017C4" w14:textId="77777777" w:rsidR="00970BBD" w:rsidRDefault="003E79B6">
            <w:r>
              <w:rPr>
                <w:sz w:val="20"/>
                <w:szCs w:val="20"/>
              </w:rPr>
              <w:t>▲ ▼ ►</w:t>
            </w:r>
          </w:p>
        </w:tc>
      </w:tr>
      <w:tr w:rsidR="00970BBD" w14:paraId="2D357E21" w14:textId="77777777">
        <w:tc>
          <w:tcPr>
            <w:tcW w:w="600" w:type="dxa"/>
          </w:tcPr>
          <w:p w14:paraId="000017C5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2760" w:type="dxa"/>
          </w:tcPr>
          <w:p w14:paraId="000017C6" w14:textId="77777777" w:rsidR="00970BBD" w:rsidRDefault="003E79B6">
            <w:r>
              <w:rPr>
                <w:sz w:val="20"/>
                <w:szCs w:val="20"/>
              </w:rPr>
              <w:t>Delivery Lead Time</w:t>
            </w:r>
          </w:p>
        </w:tc>
        <w:tc>
          <w:tcPr>
            <w:tcW w:w="1560" w:type="dxa"/>
          </w:tcPr>
          <w:p w14:paraId="000017C7" w14:textId="77777777" w:rsidR="00970BBD" w:rsidRDefault="00000000">
            <w:sdt>
              <w:sdtPr>
                <w:tag w:val="goog_rdk_760"/>
                <w:id w:val="-18833490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≤48h</w:t>
                </w:r>
              </w:sdtContent>
            </w:sdt>
          </w:p>
        </w:tc>
        <w:tc>
          <w:tcPr>
            <w:tcW w:w="1560" w:type="dxa"/>
          </w:tcPr>
          <w:p w14:paraId="000017C8" w14:textId="77777777" w:rsidR="00970BBD" w:rsidRDefault="00970BBD"/>
        </w:tc>
        <w:tc>
          <w:tcPr>
            <w:tcW w:w="1560" w:type="dxa"/>
          </w:tcPr>
          <w:p w14:paraId="000017C9" w14:textId="77777777" w:rsidR="00970BBD" w:rsidRDefault="00970BBD"/>
        </w:tc>
        <w:tc>
          <w:tcPr>
            <w:tcW w:w="1320" w:type="dxa"/>
          </w:tcPr>
          <w:p w14:paraId="000017CA" w14:textId="77777777" w:rsidR="00970BBD" w:rsidRDefault="003E79B6">
            <w:r>
              <w:rPr>
                <w:sz w:val="20"/>
                <w:szCs w:val="20"/>
              </w:rPr>
              <w:t>▲ ▼ ►</w:t>
            </w:r>
          </w:p>
        </w:tc>
      </w:tr>
      <w:tr w:rsidR="00970BBD" w14:paraId="78349160" w14:textId="77777777">
        <w:tc>
          <w:tcPr>
            <w:tcW w:w="600" w:type="dxa"/>
          </w:tcPr>
          <w:p w14:paraId="000017CB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2760" w:type="dxa"/>
          </w:tcPr>
          <w:p w14:paraId="000017CC" w14:textId="77777777" w:rsidR="00970BBD" w:rsidRDefault="003E79B6">
            <w:r>
              <w:rPr>
                <w:sz w:val="20"/>
                <w:szCs w:val="20"/>
              </w:rPr>
              <w:t>Cargo Damage Rate</w:t>
            </w:r>
          </w:p>
        </w:tc>
        <w:tc>
          <w:tcPr>
            <w:tcW w:w="1560" w:type="dxa"/>
          </w:tcPr>
          <w:p w14:paraId="000017CD" w14:textId="77777777" w:rsidR="00970BBD" w:rsidRDefault="00000000">
            <w:sdt>
              <w:sdtPr>
                <w:tag w:val="goog_rdk_761"/>
                <w:id w:val="6472188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≤1%</w:t>
                </w:r>
              </w:sdtContent>
            </w:sdt>
          </w:p>
        </w:tc>
        <w:tc>
          <w:tcPr>
            <w:tcW w:w="1560" w:type="dxa"/>
          </w:tcPr>
          <w:p w14:paraId="000017CE" w14:textId="77777777" w:rsidR="00970BBD" w:rsidRDefault="00970BBD"/>
        </w:tc>
        <w:tc>
          <w:tcPr>
            <w:tcW w:w="1560" w:type="dxa"/>
          </w:tcPr>
          <w:p w14:paraId="000017CF" w14:textId="77777777" w:rsidR="00970BBD" w:rsidRDefault="00970BBD"/>
        </w:tc>
        <w:tc>
          <w:tcPr>
            <w:tcW w:w="1320" w:type="dxa"/>
          </w:tcPr>
          <w:p w14:paraId="000017D0" w14:textId="77777777" w:rsidR="00970BBD" w:rsidRDefault="003E79B6">
            <w:r>
              <w:rPr>
                <w:sz w:val="20"/>
                <w:szCs w:val="20"/>
              </w:rPr>
              <w:t>▲ ▼ ►</w:t>
            </w:r>
          </w:p>
        </w:tc>
      </w:tr>
      <w:tr w:rsidR="00970BBD" w14:paraId="13BA0477" w14:textId="77777777">
        <w:tc>
          <w:tcPr>
            <w:tcW w:w="600" w:type="dxa"/>
          </w:tcPr>
          <w:p w14:paraId="000017D1" w14:textId="77777777" w:rsidR="00970BBD" w:rsidRDefault="003E79B6">
            <w:r>
              <w:rPr>
                <w:sz w:val="20"/>
                <w:szCs w:val="20"/>
              </w:rPr>
              <w:t>4</w:t>
            </w:r>
          </w:p>
        </w:tc>
        <w:tc>
          <w:tcPr>
            <w:tcW w:w="2760" w:type="dxa"/>
          </w:tcPr>
          <w:p w14:paraId="000017D2" w14:textId="77777777" w:rsidR="00970BBD" w:rsidRDefault="003E79B6">
            <w:r>
              <w:rPr>
                <w:sz w:val="20"/>
                <w:szCs w:val="20"/>
              </w:rPr>
              <w:t>Inventory Accuracy</w:t>
            </w:r>
          </w:p>
        </w:tc>
        <w:tc>
          <w:tcPr>
            <w:tcW w:w="1560" w:type="dxa"/>
          </w:tcPr>
          <w:p w14:paraId="000017D3" w14:textId="77777777" w:rsidR="00970BBD" w:rsidRDefault="00000000">
            <w:sdt>
              <w:sdtPr>
                <w:tag w:val="goog_rdk_762"/>
                <w:id w:val="-14506204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≥98%</w:t>
                </w:r>
              </w:sdtContent>
            </w:sdt>
          </w:p>
        </w:tc>
        <w:tc>
          <w:tcPr>
            <w:tcW w:w="1560" w:type="dxa"/>
          </w:tcPr>
          <w:p w14:paraId="000017D4" w14:textId="77777777" w:rsidR="00970BBD" w:rsidRDefault="00970BBD"/>
        </w:tc>
        <w:tc>
          <w:tcPr>
            <w:tcW w:w="1560" w:type="dxa"/>
          </w:tcPr>
          <w:p w14:paraId="000017D5" w14:textId="77777777" w:rsidR="00970BBD" w:rsidRDefault="00970BBD"/>
        </w:tc>
        <w:tc>
          <w:tcPr>
            <w:tcW w:w="1320" w:type="dxa"/>
          </w:tcPr>
          <w:p w14:paraId="000017D6" w14:textId="77777777" w:rsidR="00970BBD" w:rsidRDefault="003E79B6">
            <w:r>
              <w:rPr>
                <w:sz w:val="20"/>
                <w:szCs w:val="20"/>
              </w:rPr>
              <w:t>▲ ▼ ►</w:t>
            </w:r>
          </w:p>
        </w:tc>
      </w:tr>
      <w:tr w:rsidR="00970BBD" w14:paraId="624A14FB" w14:textId="77777777">
        <w:tc>
          <w:tcPr>
            <w:tcW w:w="600" w:type="dxa"/>
          </w:tcPr>
          <w:p w14:paraId="000017D7" w14:textId="77777777" w:rsidR="00970BBD" w:rsidRDefault="003E79B6">
            <w:r>
              <w:rPr>
                <w:sz w:val="20"/>
                <w:szCs w:val="20"/>
              </w:rPr>
              <w:t>5</w:t>
            </w:r>
          </w:p>
        </w:tc>
        <w:tc>
          <w:tcPr>
            <w:tcW w:w="2760" w:type="dxa"/>
          </w:tcPr>
          <w:p w14:paraId="000017D8" w14:textId="77777777" w:rsidR="00970BBD" w:rsidRDefault="003E79B6">
            <w:r>
              <w:rPr>
                <w:sz w:val="20"/>
                <w:szCs w:val="20"/>
              </w:rPr>
              <w:t>Pre-positioning Coverage</w:t>
            </w:r>
          </w:p>
        </w:tc>
        <w:tc>
          <w:tcPr>
            <w:tcW w:w="1560" w:type="dxa"/>
          </w:tcPr>
          <w:p w14:paraId="000017D9" w14:textId="77777777" w:rsidR="00970BBD" w:rsidRDefault="003E79B6">
            <w:r>
              <w:rPr>
                <w:sz w:val="20"/>
                <w:szCs w:val="20"/>
              </w:rPr>
              <w:t>100% of minimum levels</w:t>
            </w:r>
          </w:p>
        </w:tc>
        <w:tc>
          <w:tcPr>
            <w:tcW w:w="1560" w:type="dxa"/>
          </w:tcPr>
          <w:p w14:paraId="000017DA" w14:textId="77777777" w:rsidR="00970BBD" w:rsidRDefault="00970BBD"/>
        </w:tc>
        <w:tc>
          <w:tcPr>
            <w:tcW w:w="1560" w:type="dxa"/>
          </w:tcPr>
          <w:p w14:paraId="000017DB" w14:textId="77777777" w:rsidR="00970BBD" w:rsidRDefault="00970BBD"/>
        </w:tc>
        <w:tc>
          <w:tcPr>
            <w:tcW w:w="1320" w:type="dxa"/>
          </w:tcPr>
          <w:p w14:paraId="000017DC" w14:textId="77777777" w:rsidR="00970BBD" w:rsidRDefault="003E79B6">
            <w:r>
              <w:rPr>
                <w:sz w:val="20"/>
                <w:szCs w:val="20"/>
              </w:rPr>
              <w:t>▲ ▼ ►</w:t>
            </w:r>
          </w:p>
        </w:tc>
      </w:tr>
      <w:tr w:rsidR="00970BBD" w14:paraId="4F13D386" w14:textId="77777777">
        <w:tc>
          <w:tcPr>
            <w:tcW w:w="600" w:type="dxa"/>
          </w:tcPr>
          <w:p w14:paraId="000017DD" w14:textId="77777777" w:rsidR="00970BBD" w:rsidRDefault="003E79B6">
            <w:r>
              <w:rPr>
                <w:sz w:val="20"/>
                <w:szCs w:val="20"/>
              </w:rPr>
              <w:t>6</w:t>
            </w:r>
          </w:p>
        </w:tc>
        <w:tc>
          <w:tcPr>
            <w:tcW w:w="2760" w:type="dxa"/>
          </w:tcPr>
          <w:p w14:paraId="000017DE" w14:textId="601EF96B" w:rsidR="00970BBD" w:rsidRDefault="00195D41">
            <w:r>
              <w:rPr>
                <w:sz w:val="20"/>
                <w:szCs w:val="20"/>
              </w:rPr>
              <w:t>LOGISTICS Platform Sync</w:t>
            </w:r>
          </w:p>
        </w:tc>
        <w:tc>
          <w:tcPr>
            <w:tcW w:w="1560" w:type="dxa"/>
          </w:tcPr>
          <w:p w14:paraId="000017DF" w14:textId="77777777" w:rsidR="00970BBD" w:rsidRDefault="00000000">
            <w:sdt>
              <w:sdtPr>
                <w:tag w:val="goog_rdk_763"/>
                <w:id w:val="10658562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≥95% accuracy</w:t>
                </w:r>
              </w:sdtContent>
            </w:sdt>
          </w:p>
        </w:tc>
        <w:tc>
          <w:tcPr>
            <w:tcW w:w="1560" w:type="dxa"/>
          </w:tcPr>
          <w:p w14:paraId="000017E0" w14:textId="77777777" w:rsidR="00970BBD" w:rsidRDefault="00970BBD"/>
        </w:tc>
        <w:tc>
          <w:tcPr>
            <w:tcW w:w="1560" w:type="dxa"/>
          </w:tcPr>
          <w:p w14:paraId="000017E1" w14:textId="77777777" w:rsidR="00970BBD" w:rsidRDefault="00970BBD"/>
        </w:tc>
        <w:tc>
          <w:tcPr>
            <w:tcW w:w="1320" w:type="dxa"/>
          </w:tcPr>
          <w:p w14:paraId="000017E2" w14:textId="77777777" w:rsidR="00970BBD" w:rsidRDefault="003E79B6">
            <w:r>
              <w:rPr>
                <w:sz w:val="20"/>
                <w:szCs w:val="20"/>
              </w:rPr>
              <w:t>▲ ▼ ►</w:t>
            </w:r>
          </w:p>
        </w:tc>
      </w:tr>
    </w:tbl>
    <w:p w14:paraId="000017E3" w14:textId="77777777" w:rsidR="00970BBD" w:rsidRDefault="003E79B6">
      <w:pPr>
        <w:pStyle w:val="Heading2"/>
      </w:pPr>
      <w:bookmarkStart w:id="233" w:name="_Toc224798353"/>
      <w:r>
        <w:t>Key Findings and Recommendations</w:t>
      </w:r>
      <w:bookmarkEnd w:id="233"/>
    </w:p>
    <w:p w14:paraId="000017E4" w14:textId="77777777" w:rsidR="00970BBD" w:rsidRDefault="003E79B6">
      <w:pPr>
        <w:spacing w:before="80" w:after="80"/>
      </w:pPr>
      <w:r>
        <w:rPr>
          <w:color w:val="000000"/>
        </w:rPr>
        <w:t>Summary of major deployments, lessons learned, system improvements implemented, outstanding gaps, and priority actions for next year. Feeds Annual Procurement Plan (Annex A-46) and Pre-Positioning Strategy (8.5-K) updates.</w:t>
      </w:r>
    </w:p>
    <w:tbl>
      <w:tblPr>
        <w:tblStyle w:val="38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46A69C90" w14:textId="77777777">
        <w:tc>
          <w:tcPr>
            <w:tcW w:w="3120" w:type="dxa"/>
            <w:shd w:val="clear" w:color="auto" w:fill="D5E8F0"/>
          </w:tcPr>
          <w:p w14:paraId="000017E5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7E6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7E7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00D114D6" w14:textId="77777777">
        <w:tc>
          <w:tcPr>
            <w:tcW w:w="3120" w:type="dxa"/>
          </w:tcPr>
          <w:p w14:paraId="000017E8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7E9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7E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70190505" w14:textId="77777777">
        <w:tc>
          <w:tcPr>
            <w:tcW w:w="3120" w:type="dxa"/>
          </w:tcPr>
          <w:p w14:paraId="000017EB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7EC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7ED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0AE28243" w14:textId="77777777">
        <w:tc>
          <w:tcPr>
            <w:tcW w:w="3120" w:type="dxa"/>
          </w:tcPr>
          <w:p w14:paraId="000017EE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7EF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7F0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p w14:paraId="000017F1" w14:textId="77777777" w:rsidR="00970BBD" w:rsidRDefault="003E79B6">
      <w:pPr>
        <w:pageBreakBefore/>
        <w:pBdr>
          <w:bottom w:val="single" w:sz="6" w:space="8" w:color="00796B"/>
        </w:pBdr>
        <w:spacing w:before="600" w:after="200"/>
        <w:jc w:val="center"/>
      </w:pPr>
      <w:r>
        <w:rPr>
          <w:b/>
          <w:bCs/>
          <w:color w:val="1B3A5C"/>
          <w:sz w:val="32"/>
          <w:szCs w:val="32"/>
        </w:rPr>
        <w:lastRenderedPageBreak/>
        <w:t>NEW v7.0 GOVERNANCE ANNEXES: SADC PROCUREMENT GUIDELINES (JUNE 2025) ALIGNMENT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