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Arial" w:cs="Arial" w:eastAsia="Arial" w:hAnsi="Arial"/>
          <w:color w:val="666666"/>
          <w:sz w:val="16"/>
          <w:szCs w:val="16"/>
        </w:rPr>
        <w:t xml:space="preserve">SADC HUMANITARIAN AND EMERGENCY OPERATIONS CENTRE (SHOC)</w:t>
      </w:r>
    </w:p>
    <w:p>
      <w:pPr>
        <w:pBdr>
          <w:bottom w:val="single" w:color="2E75B6" w:sz="6" w:space="1"/>
        </w:pBdr>
        <w:spacing w:after="60"/>
        <w:jc w:val="center"/>
      </w:pPr>
      <w:r>
        <w:rPr>
          <w:rFonts w:ascii="Arial" w:cs="Arial" w:eastAsia="Arial" w:hAnsi="Arial"/>
          <w:color w:val="666666"/>
          <w:sz w:val="16"/>
          <w:szCs w:val="16"/>
        </w:rPr>
        <w:t xml:space="preserve">EARLY WARNING AND MONITORING SYSTEMS</w:t>
      </w:r>
    </w:p>
    <w:p>
      <w:pPr>
        <w:spacing w:after="200"/>
      </w:pPr>
    </w:p>
    <w:p>
      <w:pPr>
        <w:spacing w:after="100"/>
        <w:jc w:val="center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Annex 2.1-D</w:t>
      </w:r>
    </w:p>
    <w:p>
      <w:pPr>
        <w:spacing w:after="300"/>
        <w:jc w:val="center"/>
      </w:pPr>
      <w:r>
        <w:rPr>
          <w:rFonts w:ascii="Arial" w:cs="Arial" w:eastAsia="Arial" w:hAnsi="Arial"/>
          <w:b/>
          <w:bCs/>
          <w:color w:val="1B3A5C"/>
          <w:sz w:val="28"/>
          <w:szCs w:val="28"/>
        </w:rPr>
        <w:t xml:space="preserve">Data Quality Assurance Protocol</w:t>
      </w:r>
    </w:p>
    <w:p>
      <w:pPr>
        <w:spacing w:after="100"/>
      </w:pPr>
      <w:r>
        <w:rPr>
          <w:rFonts w:ascii="Arial" w:cs="Arial" w:eastAsia="Arial" w:hAnsi="Arial"/>
          <w:i/>
          <w:iCs/>
          <w:color w:val="000000"/>
          <w:sz w:val="18"/>
          <w:szCs w:val="18"/>
        </w:rPr>
        <w:t xml:space="preserve">Purpose: Standardised protocol for data quality per ISO 27001 and IFRC standards.</w:t>
      </w:r>
    </w:p>
    <w:p>
      <w:pPr>
        <w:spacing w:after="100"/>
      </w:pPr>
      <w:r>
        <w:rPr>
          <w:rFonts w:ascii="Arial" w:cs="Arial" w:eastAsia="Arial" w:hAnsi="Arial"/>
          <w:i/>
          <w:iCs/>
          <w:color w:val="666666"/>
          <w:sz w:val="18"/>
          <w:szCs w:val="18"/>
        </w:rPr>
        <w:t xml:space="preserve">Benchmark: ISO 27001:2022; UNDAC Handbook 8th Ed. Ch. 9.5; IFRC IM Module 4.1</w:t>
      </w:r>
    </w:p>
    <w:p>
      <w:pPr>
        <w:pBdr>
          <w:bottom w:val="single" w:color="2E75B6" w:sz="2" w:space="1"/>
        </w:pBdr>
        <w:spacing w:after="120" w:before="240"/>
      </w:pPr>
      <w:r>
        <w:rPr>
          <w:rFonts w:ascii="Arial" w:cs="Arial" w:eastAsia="Arial" w:hAnsi="Arial"/>
          <w:b/>
          <w:bCs/>
          <w:color w:val="1B3A5C"/>
          <w:sz w:val="22"/>
          <w:szCs w:val="22"/>
        </w:rPr>
        <w:t xml:space="preserve">Quality Dimensions (IFRC Framework)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800"/>
        <w:gridCol w:w="2680"/>
        <w:gridCol w:w="2600"/>
      </w:tblGrid>
      <w:tr>
        <w:tc>
          <w:tcPr>
            <w:tcW w:type="dxa" w:w="20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Dimension</w:t>
            </w:r>
          </w:p>
        </w:tc>
        <w:tc>
          <w:tcPr>
            <w:tcW w:type="dxa" w:w="28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Definition</w:t>
            </w:r>
          </w:p>
        </w:tc>
        <w:tc>
          <w:tcPr>
            <w:tcW w:type="dxa" w:w="268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Check Method</w:t>
            </w:r>
          </w:p>
        </w:tc>
        <w:tc>
          <w:tcPr>
            <w:tcW w:type="dxa" w:w="26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Threshold</w:t>
            </w:r>
          </w:p>
        </w:tc>
      </w:tr>
      <w:tr>
        <w:tc>
          <w:tcPr>
            <w:tcW w:type="dxa" w:w="20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Accuracy</w:t>
            </w:r>
          </w:p>
        </w:tc>
        <w:tc>
          <w:tcPr>
            <w:tcW w:type="dxa" w:w="28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Data correctly represents reality</w:t>
            </w:r>
          </w:p>
        </w:tc>
        <w:tc>
          <w:tcPr>
            <w:tcW w:type="dxa" w:w="268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Cross-ref with 2+ sources</w:t>
            </w:r>
          </w:p>
        </w:tc>
        <w:tc>
          <w:tcPr>
            <w:tcW w:type="dxa" w:w="26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≥95% agreement</w:t>
            </w:r>
          </w:p>
        </w:tc>
      </w:tr>
      <w:tr>
        <w:tc>
          <w:tcPr>
            <w:tcW w:type="dxa" w:w="20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Completeness</w:t>
            </w:r>
          </w:p>
        </w:tc>
        <w:tc>
          <w:tcPr>
            <w:tcW w:type="dxa" w:w="28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All required fields populated</w:t>
            </w:r>
          </w:p>
        </w:tc>
        <w:tc>
          <w:tcPr>
            <w:tcW w:type="dxa" w:w="268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Automated null checks</w:t>
            </w:r>
          </w:p>
        </w:tc>
        <w:tc>
          <w:tcPr>
            <w:tcW w:type="dxa" w:w="26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≥90% complete</w:t>
            </w:r>
          </w:p>
        </w:tc>
      </w:tr>
      <w:tr>
        <w:tc>
          <w:tcPr>
            <w:tcW w:type="dxa" w:w="20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Timeliness</w:t>
            </w:r>
          </w:p>
        </w:tc>
        <w:tc>
          <w:tcPr>
            <w:tcW w:type="dxa" w:w="28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Data current for decisions</w:t>
            </w:r>
          </w:p>
        </w:tc>
        <w:tc>
          <w:tcPr>
            <w:tcW w:type="dxa" w:w="268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Timestamp validation</w:t>
            </w:r>
          </w:p>
        </w:tc>
        <w:tc>
          <w:tcPr>
            <w:tcW w:type="dxa" w:w="26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≤6 hours latency</w:t>
            </w:r>
          </w:p>
        </w:tc>
      </w:tr>
      <w:tr>
        <w:tc>
          <w:tcPr>
            <w:tcW w:type="dxa" w:w="20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Consistency</w:t>
            </w:r>
          </w:p>
        </w:tc>
        <w:tc>
          <w:tcPr>
            <w:tcW w:type="dxa" w:w="28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Data coherent across sources</w:t>
            </w:r>
          </w:p>
        </w:tc>
        <w:tc>
          <w:tcPr>
            <w:tcW w:type="dxa" w:w="268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Logic/range checks</w:t>
            </w:r>
          </w:p>
        </w:tc>
        <w:tc>
          <w:tcPr>
            <w:tcW w:type="dxa" w:w="26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0% contradictions</w:t>
            </w:r>
          </w:p>
        </w:tc>
      </w:tr>
      <w:tr>
        <w:tc>
          <w:tcPr>
            <w:tcW w:type="dxa" w:w="20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Validity</w:t>
            </w:r>
          </w:p>
        </w:tc>
        <w:tc>
          <w:tcPr>
            <w:tcW w:type="dxa" w:w="28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Data conforms to rules</w:t>
            </w:r>
          </w:p>
        </w:tc>
        <w:tc>
          <w:tcPr>
            <w:tcW w:type="dxa" w:w="268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Schema validation</w:t>
            </w:r>
          </w:p>
        </w:tc>
        <w:tc>
          <w:tcPr>
            <w:tcW w:type="dxa" w:w="26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100% compliance</w:t>
            </w:r>
          </w:p>
        </w:tc>
      </w:tr>
    </w:tbl>
    <w:p>
      <w:pPr>
        <w:spacing w:after="120"/>
      </w:pPr>
    </w:p>
    <w:p>
      <w:pPr>
        <w:spacing w:before="400"/>
      </w:pPr>
    </w:p>
    <w:p>
      <w:pPr>
        <w:pBdr>
          <w:top w:val="single" w:color="2E75B6" w:sz="2" w:space="1"/>
        </w:pBdr>
        <w:spacing w:before="100"/>
      </w:pPr>
      <w:r>
        <w:rPr>
          <w:rFonts w:ascii="Arial" w:cs="Arial" w:eastAsia="Arial" w:hAnsi="Arial"/>
          <w:color w:val="666666"/>
          <w:sz w:val="15"/>
          <w:szCs w:val="15"/>
        </w:rPr>
        <w:t xml:space="preserve">Version 3.3 | Effective: 01 April 2026 | Next Review: 31 December 2027</w:t>
      </w:r>
    </w:p>
    <w:sectPr>
      <w:headerReference w:type="default" r:id="rId7"/>
      <w:pgSz w:w="12240" w:h="15840" w:orient="portrait"/>
      <w:pgMar w:top="1440" w:right="1080" w:bottom="144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666666"/>
        <w:sz w:val="14"/>
        <w:szCs w:val="14"/>
      </w:rPr>
      <w:t xml:space="preserve">SHOC EW&amp;M | Annex 2.1-D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2026-03-26T16:55:00.902Z</dcterms:created>
  <dcterms:modified xsi:type="dcterms:W3CDTF">2026-03-26T16:55:00.902Z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