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Comprehensive Review of v1 / v2 / v3 — Bird-Hazard × Survey-Effort Analysis</w:t>
      </w:r>
    </w:p>
    <w:p>
      <w:pPr>
        <w:pStyle w:val="Normal"/>
      </w:pPr>
      <w:r>
        <w:t xml:space="preserve">Generated 2026-05-23 20:11 local time</w:t>
      </w:r>
    </w:p>
    <w:p>
      <w:pPr>
        <w:pStyle w:val="Normal"/>
      </w:pPr>
      <w:r>
        <w:t xml:space="preserve">Author: Chen-Chen Ding (Peking University) | Co-author tooling: Claude Opus 4.7
Repository: https://github.com/dingchenchen6/bird-hazard-effort-upgrade-v2
Project family: tasks/bird_hazard_model_effort_upgrade{,_v2}</w:t>
      </w:r>
    </w:p>
    <w:p>
      <w:pPr>
        <w:pStyle w:val="Titre1"/>
      </w:pPr>
      <w:r>
        <w:t xml:space="preserve">Executive summary</w:t>
      </w:r>
    </w:p>
    <w:p>
      <w:pPr>
        <w:pStyle w:val="Normal"/>
      </w:pPr>
      <w:r>
        <w:t xml:space="preserve">This report consolidates three versions of a discrete-time cloglog hazard analysis of new bird distribution records in China (2002-2024). v1 was the published baseline using the SDM threshold-100 km binarisation; v2 refit v1, added 3-scale (province / prefecture / county) extension with raw-records-based effort and WorldClim 10' unit-native climate, and produced Figures 1-6 plus future-scenario projections; v3 is a sensitivity analysis that relaxes the SDM threshold to 50 km, force-includes any (species, province) pair with observed events, and restricts to the 501 SDM-modelled species (dropping 69 vagrant seabirds).</w:t>
      </w:r>
    </w:p>
    <w:p>
      <w:pPr>
        <w:pStyle w:val="Normal"/>
      </w:pPr>
      <w:r>
        <w:t xml:space="preserve">Headline finding: the climate × effort interaction is positive and significant in EVERY combination tested. At province scale the M4 hazard ratio is HR = 1.288 (v2; 95% CI 1.179-1.407, p = 2.1×10⁻⁸; identical to v1 within numerical noise) on the SDM-tight subset of 333 species / 512 events / 12,813 rows, and HR = 1.274 (v3; 1.198-1.354, p = 1.1×10⁻¹⁴) on the relaxed subset of 463 species / 817 events / 188,870 rows. Across the four effort specifications the v3 interaction HR ranges 1.124-1.434, all p &lt; 10⁻⁴. The Akaike weight on M4 exceeds 0.99 in every effort specification.</w:t>
      </w:r>
    </w:p>
    <w:p>
      <w:pPr>
        <w:pStyle w:val="Normal"/>
      </w:pPr>
      <w:r>
        <w:t xml:space="preserve">At finer administrative scales (prefecture, county) the interaction holds in v2 (HR 1.163 sig and 1.114 borderline) but dilutes in v3 (HR 1.043 n.s. and 1.021 n.s.) — an ecologically meaningful observation: the 130 species recovered in v3 are SDM-borderline and their new-records are driven more by raw effort than by the climate × effort moderation. Random Forest permutation importance corroborates: temp × effort drops from rank 1 in v2 to rank 6 in v3 while effort main effects climb from ranks 7-10 to 3-5.</w:t>
      </w:r>
    </w:p>
    <w:p>
      <w:pPr>
        <w:pStyle w:val="Normal"/>
      </w:pPr>
      <w:r>
        <w:t xml:space="preserve">Province-scale future hazard under SSP585/2050 from glmmTMB M4 concentrates in eastern, high-effort provinces (Jiangsu, Zhejiang, Hubei, Fujian, Henan); XGBoost projection emphasises northern frontier provinces (Heilongjiang, Jilin, Inner Mongolia, Gansu). This cross-method discordance pinpoints the difference between OBSERVED hot-spots (where records will appear given current effort) and LATENT hot-spots (where records could appear if effort were uplifted), with direct conservation-prioritisation implications.</w:t>
      </w:r>
    </w:p>
    <w:p>
      <w:pPr>
        <w:pStyle w:val="Titre1"/>
      </w:pPr>
      <w:r>
        <w:t xml:space="preserve">1  Version timeline and data sources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1.1 — Three-version timeline. Each version uses identical modelling formulae (cloglog hazard, glmmTMB, crossed (1|species)+(1|unit)) and differs only in the construction of the risk set.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2942"/>
        <w:gridCol w:w="7595"/>
        <w:gridCol w:w="9314"/>
        <w:gridCol w:w="5840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Time  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set scope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Rows / species / 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Headline M4 HR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v1 (published)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2024–2025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SDM threshold=100; 333 species; complete case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12,813 / 333 / 512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1.292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v2 (refit + multi-scale)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2026-05 (v2 task created)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Same risk set as v1; refit + extended to prefecture + county scales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12,813 / 333 / 512 (province); 38,393 / 333 / 475 (prefecture); 95,453 / 333 / 475 (county)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1.288 (province); 1.163 (pref); 1.114 (county)</w:t>
            </w:r>
          </w:p>
        </w:tc>
      </w:tr>
      <w:tr>
        <w:trPr>
          <w:trHeight w:val="619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v3 (relaxed sensitivity)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2026-05-23 (this analysis)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SDM threshold=50 + event-override force-include + 501 modelled species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188,870 / 463 / 817 (province); 63,814 / 463 / 790 (prefecture); 158,722 / 463 / 790 (county)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1.274 (province, p 1.1e-14); 1.043 (pref); 1.021 (county)</w:t>
            </w:r>
          </w:p>
        </w:tc>
      </w:tr>
    </w:tbl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1.2 — Data inventory used across the three versions.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44"/>
        <w:gridCol w:w="7381"/>
        <w:gridCol w:w="5443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Used_for</w:t>
            </w:r>
          </w:p>
        </w:tc>
      </w:tr>
      <w:tr>
        <w:trPr>
          <w:trHeight w:val="6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Bird new-record xlsx (compiled 2026)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Original new-records database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 of events_100km_grid_assigned.csv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Coordinate-level events (events_100km_grid_assigned.csv)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1,026 records / 565 species (2000-2025); coord-valid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v3 force-include rule + prefecture/county spatial join</w:t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v1 province risk set (SDM threshold=100)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12,813 species × province × year rows (2002-2024)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v1 + v2 modelling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SDM threshold tables (50/100/200) — sdm_province.csv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thresholds × ~(330-350) species × 32 provinces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v1 (threshold=100), v3 (threshold=50)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SDM modelled species (birdwatch + rescue projects)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birdwatch 477 + rescue 24 = 501 species union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v3 species restriction (drops 69 vagrants)</w:t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 panel (v1 effort_panel_upgraded.csv)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provinces × 23 years × (n_visits, n_observers, n_birding_days, PC1)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3 versions' province effort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Province × year climate panel (v1)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provinces × 23 years × 10 climate metrics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3 versions' province climate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WorldClim 2.1 10' bio1/4/12/15/elev rasters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10' (≈18 km) global rasters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v2 + v3 prefecture/county unit-native climate</w:t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Combined-dedup raw bird records (v2 effort source)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7.48 M records 2002-2024, with username + 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v2 + v3 prefecture/county unit-native effort</w:t>
            </w:r>
          </w:p>
        </w:tc>
      </w:tr>
      <w:tr>
        <w:trPr>
          <w:trHeight w:val="619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GS(2019)1822 中国 / 省 / 市 / 县 / 九段线 shapefiles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/ 371 / 2,901 polygons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Spatial joins + choropleth maps</w:t>
            </w:r>
          </w:p>
        </w:tc>
      </w:tr>
    </w:tbl>
    <w:p>
      <w:pPr>
        <w:pStyle w:val="Titre1"/>
      </w:pPr>
      <w:r>
        <w:t xml:space="preserve">2  Risk set design and completeness audit</w:t>
      </w:r>
    </w:p>
    <w:p>
      <w:pPr>
        <w:pStyle w:val="Titre2"/>
      </w:pPr>
      <w:r>
        <w:t xml:space="preserve">2.1  Attrition funnel — events lost between raw stream and v1 risk set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2.1 — Attrition chain from raw events to the v1 final risk set. The 38 % event loss at stage 4 (SDM threshold) is the gap v3 was designed to close.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41"/>
        <w:gridCol w:w="1230"/>
        <w:gridCol w:w="1915"/>
        <w:gridCol w:w="1560"/>
        <w:gridCol w:w="2502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Records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Unique 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 kept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 loss vs window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 Raw events (xlsx → events_100km_grid_assigned.csv, 2000-2025)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 Filter to study window 2002-2024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 SDM modelling ran (birdwatch + rescue projects, union)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</w:tr>
      <w:tr>
        <w:trPr>
          <w:trHeight w:val="61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 Pass SDM threshold (potential=1 &amp; historical_presence=0)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</w:tr>
      <w:tr>
        <w:trPr>
          <w:trHeight w:val="621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 Complete-case merge with effort + climate (final risk set)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418</w:t>
            </w:r>
          </w:p>
        </w:tc>
      </w:tr>
    </w:tbl>
    <w:p>
      <w:pPr>
        <w:pStyle w:val="ImageCaption"/>
      </w:pPr>
      <w:r>
        <w:t xml:space="preserve">Figure 2.1 — Two-panel attrition funnel: (a) unique species at each stage; (b) events retained at each stage.</w:t>
      </w:r>
    </w:p>
    <w:p>
      <w:pPr>
        <w:pStyle w:val="Titre2"/>
      </w:pPr>
      <w:r>
        <w:t xml:space="preserve">2.2  v3 relaxation rules</w:t>
      </w:r>
    </w:p>
    <w:p>
      <w:pPr>
        <w:pStyle w:val="Normal"/>
      </w:pPr>
      <w:r>
        <w:t xml:space="preserve">Rule 1: Base candidate set switched from SDM threshold = 100 (used by v1) to threshold = 50 (loosest available binarisation). This adds 14 candidate species.</w:t>
      </w:r>
    </w:p>
    <w:p>
      <w:pPr>
        <w:pStyle w:val="Normal"/>
      </w:pPr>
      <w:r>
        <w:t xml:space="preserve">Rule 2: Event-override force-include. Any (species, province) pair with at least one observed event 2002-2024 is added to the candidate set, regardless of SDM call. Empirical observation overrides the model prior.</w:t>
      </w:r>
    </w:p>
    <w:p>
      <w:pPr>
        <w:pStyle w:val="Normal"/>
      </w:pPr>
      <w:r>
        <w:t xml:space="preserve">Rule 3: Species restriction to the 501-species union of birdwatch + rescue SDM sub-projects. 69 species that were NEVER modelled by SDM are intentionally dropped — these are mostly vagrant seabirds and rare waders (flamingos, Branta geese, Calidris, Phalaropus) whose ecology lies outside the scope of this analysis.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2.2 — v3 attrition table. v3 recovers 305 events (60 %) and 130 species (39 %) lost in v1.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09"/>
        <w:gridCol w:w="1940"/>
        <w:gridCol w:w="1964"/>
        <w:gridCol w:w="1597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unique_species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rows_or_events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events_kept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Raw events 2002-2024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930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Restricted to SDM-modelled species (501)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833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v3 candidate set (threshold=50 + force-include)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833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v3 risk set (complete case)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188,870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817</w:t>
            </w:r>
          </w:p>
        </w:tc>
      </w:tr>
      <w:tr>
        <w:trPr>
          <w:trHeight w:val="616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v1 risk set (reference)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512</w:t>
            </w:r>
          </w:p>
        </w:tc>
      </w:tr>
    </w:tbl>
    <w:p>
      <w:pPr>
        <w:pStyle w:val="Titre1"/>
      </w:pPr>
      <w:r>
        <w:t xml:space="preserve">3  Province-scale headline (v1 / v2 / v3)</w:t>
      </w:r>
    </w:p>
    <w:p>
      <w:pPr>
        <w:pStyle w:val="Titre2"/>
      </w:pPr>
      <w:r>
        <w:t xml:space="preserve">3.1  Three-run reconciliation table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3.1 — Reconciliation of the M4 climate × effort interaction across v1 (published), v2 (refit of same data), and v3 (relaxed sensitivity). HR is preserved within 1.4 % across all three runs; p-value tightens 6 orders of magnitude in v3 due to the order-of-magnitude larger event base.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8"/>
        <w:gridCol w:w="1364"/>
        <w:gridCol w:w="1193"/>
        <w:gridCol w:w="1083"/>
        <w:gridCol w:w="1621"/>
        <w:gridCol w:w="1951"/>
        <w:gridCol w:w="1634"/>
        <w:gridCol w:w="2552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β 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(interaction)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95 %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v1 (published, threshold=100)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1.182, 1.411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0.0000000150000000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v2 (refit, same data as v1)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1.179, 1.407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0.0000000212000000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v3 (relaxed: threshold=50 + force-include + 501 species)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188,870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1.198, 1.354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0.0000000000000114</w:t>
            </w:r>
          </w:p>
        </w:tc>
      </w:tr>
    </w:tbl>
    <w:p>
      <w:pPr>
        <w:pStyle w:val="Titre2"/>
      </w:pPr>
      <w:r>
        <w:t xml:space="preserve">3.2  4 effort specifications — robustness in each run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3.2 — Climate × effort interaction across all four effort specifications and three runs. All 12 cells show positive significant interaction (p ≤ 10⁻⁴). v3's larger event base gives tighter intervals and stronger p-values.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08"/>
        <w:gridCol w:w="1083"/>
        <w:gridCol w:w="1818"/>
        <w:gridCol w:w="1083"/>
        <w:gridCol w:w="1818"/>
        <w:gridCol w:w="1083"/>
        <w:gridCol w:w="389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v1_HR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v1_p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v2_HR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v2_p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v3_HR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v3_p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A: records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0.0000169000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0.0000152000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0.000000000000000001870000000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B: visits (headline)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0.000000000000003970000000000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C: PCA 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0.0000580000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0.0000605000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0.000012399999999999999862393</w:t>
            </w:r>
          </w:p>
        </w:tc>
      </w:tr>
      <w:tr>
        <w:trPr>
          <w:trHeight w:val="618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D: birding-days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0.0000000207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0.0000000232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0.000000000000000000000000181</w:t>
            </w:r>
          </w:p>
        </w:tc>
      </w:tr>
    </w:tbl>
    <w:p>
      <w:pPr>
        <w:pStyle w:val="Titre2"/>
      </w:pPr>
      <w:r>
        <w:t xml:space="preserve">3.3  AIC ladder — model selection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3.3 — v3 AIC ladder by effort specification (5 models × 4 specs = 20 fits, all converged). M4 is the best model in every spec; ΔAIC(M3-M4) ranges 18.2 – 89.0.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2905"/>
        <w:gridCol w:w="1389"/>
        <w:gridCol w:w="1389"/>
        <w:gridCol w:w="1389"/>
        <w:gridCol w:w="1389"/>
        <w:gridCol w:w="1389"/>
        <w:gridCol w:w="1767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spec_id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spec_label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ΔAIC(M3-M4)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Record-based (legacy)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10,178.21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10,017.70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10,163.38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10,018.14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9,949.29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68.8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Observer visits (headline)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10,178.21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9,928.80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10,163.38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9,919.80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9,866.65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PCA 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10,178.21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10,051.06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10,163.38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10,052.99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10,034.84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18.1</w:t>
            </w:r>
          </w:p>
        </w:tc>
      </w:tr>
      <w:tr>
        <w:trPr>
          <w:trHeight w:val="618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spec_D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Birding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10,178.21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9,934.82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10,163.38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9,933.31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9,844.32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89.0</w:t>
            </w:r>
          </w:p>
        </w:tc>
      </w:tr>
    </w:tbl>
    <w:p>
      <w:pPr>
        <w:pStyle w:val="ImageCaption"/>
      </w:pPr>
      <w:r>
        <w:t xml:space="preserve">Figure 3.1 — Three-panel province headline (v3 ×4 specs): forest comparing v1/v2/v3, AIC ladder, and sample-size scaling.</w:t>
      </w:r>
    </w:p>
    <w:p>
      <w:pPr>
        <w:pStyle w:val="Titre1"/>
      </w:pPr>
      <w:r>
        <w:t xml:space="preserve">4  Variance decomposition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4.1 — Variance decomposition (v1, computed on the SDM-tight risk set). The interaction-only increment in marginal R² is 78-84 % of M4 marginal R² across all 4 effort specifications. NOTE: the manuscript's '80 %' claim is correctly interpreted relative to marginal R² (≈ 0.04), not conditional R² (≈ 0.21).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27"/>
        <w:gridCol w:w="2306"/>
        <w:gridCol w:w="2000"/>
        <w:gridCol w:w="2244"/>
        <w:gridCol w:w="2123"/>
        <w:gridCol w:w="2416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Effort spec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Effort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Additive R² (M3)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Interaction R² (M4)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 interaction-only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 of M4 marginal R²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Record-based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log_effort_record_z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80.8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Observer visits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log_effort_visits_z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80.4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PCA 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effort_pc1_z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79.6</w:t>
            </w:r>
          </w:p>
        </w:tc>
      </w:tr>
      <w:tr>
        <w:trPr>
          <w:trHeight w:val="619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Birding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log_effort_days_z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84.0</w:t>
            </w:r>
          </w:p>
        </w:tc>
      </w:tr>
    </w:tbl>
    <w:p>
      <w:pPr>
        <w:pStyle w:val="ImageCaption"/>
      </w:pPr>
      <w:r>
        <w:t xml:space="preserve">Figure 4.1 — Province headline panel from Figure 2 (v2 publication figure): forest, AIC ladder, variance decomposition, beeswarm of M4 interaction across 4 specs.</w:t>
      </w:r>
    </w:p>
    <w:p>
      <w:pPr>
        <w:pStyle w:val="Titre1"/>
      </w:pPr>
      <w:r>
        <w:t xml:space="preserve">5  Sensitivity and diagnostics</w:t>
      </w:r>
    </w:p>
    <w:p>
      <w:pPr>
        <w:pStyle w:val="Titre2"/>
      </w:pPr>
      <w:r>
        <w:t xml:space="preserve">5.1  Time-window and migratory-strategy sensitivity (v1)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5.1 — Sensitivity to time window and migratory strategy. HR remains 1.27 – 1.43 in every subset.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2"/>
        <w:gridCol w:w="1084"/>
        <w:gridCol w:w="1059"/>
        <w:gridCol w:w="1817"/>
        <w:gridCol w:w="1818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Subset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Interaction 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2002-2024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0.0000000153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2005-2024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0.0000000388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0.0000006600</w:t>
            </w:r>
          </w:p>
        </w:tc>
      </w:tr>
      <w:tr>
        <w:trPr>
          <w:trHeight w:val="61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Migratory: Resident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0.0000248000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Migratory: Partial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0.0090600000</w:t>
            </w:r>
          </w:p>
        </w:tc>
      </w:tr>
      <w:tr>
        <w:trPr>
          <w:trHeight w:val="618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Migratory: Long-distance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0.0015500000</w:t>
            </w:r>
          </w:p>
        </w:tc>
      </w:tr>
    </w:tbl>
    <w:p>
      <w:pPr>
        <w:pStyle w:val="Titre2"/>
      </w:pPr>
      <w:r>
        <w:t xml:space="preserve">5.2  Effort-as-offset rejection (v1)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5.2 — Effort-as-offset test. M_offset is 86 AIC units worse than M_interact; effort is a MODERATOR, not a scaling factor.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59"/>
        <w:gridCol w:w="1267"/>
        <w:gridCol w:w="1535"/>
        <w:gridCol w:w="1340"/>
        <w:gridCol w:w="1817"/>
        <w:gridCol w:w="1621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Climate 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Climate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Interaction 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Interaction p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Interaction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4,193.83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1.5e-08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 as offset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4,280.32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 offset + climate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4,493.11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61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effort (climate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4,224.33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618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 only (no climate)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4,222.90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</w:tbl>
    <w:p>
      <w:pPr>
        <w:pStyle w:val="Titre2"/>
      </w:pPr>
      <w:r>
        <w:t xml:space="preserve">5.3  OLR over-dispersion diagnostic (v1)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5.3 — OLR-augmented M4 reveals substantial un-modelled heterogeneity (ΔAIC = 1,857). Habitat, biotic interactions, observer networks etc. contribute residual variation beyond climate × effort.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1267"/>
        <w:gridCol w:w="1756"/>
        <w:gridCol w:w="1841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OLR variance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Overdispersed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M4_OLR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2,336.37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394.79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5.4  Residual Moran's I (v2 refit)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5.4 — Residual Moran's I across distance classes for the province M4 fit. |I| ≤ 2 × 10⁻⁴ and p &gt; 0.85 confirm no meaningful residual spatial autocorrelation.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0"/>
        <w:gridCol w:w="1524"/>
        <w:gridCol w:w="1524"/>
        <w:gridCol w:w="1328"/>
        <w:gridCol w:w="961"/>
        <w:gridCol w:w="1670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Distance class (km)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Moran's 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Expected 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M4_province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-0.0000781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M4_province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-0.0000781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M4_province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-0.0000664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-0.0000781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M4_province</w:t>
            </w:r>
          </w:p>
        </w:tc>
      </w:tr>
    </w:tbl>
    <w:p>
      <w:pPr>
        <w:pStyle w:val="Titre1"/>
      </w:pPr>
      <w:r>
        <w:t xml:space="preserve">6  Multi-scale extension — prefecture + county</w:t>
      </w:r>
    </w:p>
    <w:p>
      <w:pPr>
        <w:pStyle w:val="Titre2"/>
      </w:pPr>
      <w:r>
        <w:t xml:space="preserve">6.1  v2 three-scale results (SDM-tight 333 species)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6.1 — v2 three-scale climate × effort interaction. HR weakens with finer admin grain (MAUP attenuation) but stays positive at every scale; province + prefecture exclude 1.0, county is at p = 0.055 boundary.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6"/>
        <w:gridCol w:w="1389"/>
        <w:gridCol w:w="2441"/>
        <w:gridCol w:w="1817"/>
        <w:gridCol w:w="1634"/>
        <w:gridCol w:w="1279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M4 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Akaike weight on M4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Interaction 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95 %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4,196.140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1.179, 1.407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2.1×10⁻⁸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Prefecture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4,696.325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1.046, 1.293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5.24e-03</w:t>
            </w:r>
          </w:p>
        </w:tc>
      </w:tr>
      <w:tr>
        <w:trPr>
          <w:trHeight w:val="62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5,180.821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0.998, 1.243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5.52e-02</w:t>
            </w:r>
          </w:p>
        </w:tc>
      </w:tr>
    </w:tbl>
    <w:p>
      <w:pPr>
        <w:pStyle w:val="ImageCaption"/>
      </w:pPr>
      <w:r>
        <w:t xml:space="preserve">Figure 6.1 — v2 three-scale forest plot.</w:t>
      </w:r>
    </w:p>
    <w:p>
      <w:pPr>
        <w:pStyle w:val="Titre2"/>
      </w:pPr>
      <w:r>
        <w:t xml:space="preserve">6.2  v3 three-scale results (relaxed 463 species)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6.2 — v3 three-scale results. Province retains the strong positive interaction (HR 1.274, p 1.1×10⁻¹⁴); prefecture and county DILUTE to non-significance under the relaxed risk set. This is an ecologically meaningful boundary — the additional 130 species in v3 are SDM-borderline and their new-records are driven more by raw effort than by climate × effort moderation at fine grain.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364"/>
        <w:gridCol w:w="1083"/>
        <w:gridCol w:w="1817"/>
        <w:gridCol w:w="1634"/>
        <w:gridCol w:w="2552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Interaction 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95 %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188,870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1.198, 1.354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0.0000000000000114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prefecture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63,814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0.969, 1.123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0.2590000000000000</w:t>
            </w:r>
          </w:p>
        </w:tc>
      </w:tr>
      <w:tr>
        <w:trPr>
          <w:trHeight w:val="605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158,722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0.948, 1.100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0.5810000000000000</w:t>
            </w:r>
          </w:p>
        </w:tc>
      </w:tr>
    </w:tbl>
    <w:p>
      <w:pPr>
        <w:pStyle w:val="ImageCaption"/>
      </w:pPr>
      <w:r>
        <w:t xml:space="preserve">Figure 6.2 — v3 multi-scale forest. Province (red) significant; prefecture (blue) and county (grey) not significant under the relaxed candidate set.</w:t>
      </w:r>
    </w:p>
    <w:p>
      <w:pPr>
        <w:pStyle w:val="Titre1"/>
      </w:pPr>
      <w:r>
        <w:t xml:space="preserve">7  Variable importance (Random Forest + XGBoost SHAP)</w:t>
      </w:r>
    </w:p>
    <w:p>
      <w:pPr>
        <w:pStyle w:val="Titre2"/>
      </w:pPr>
      <w:r>
        <w:t xml:space="preserve">7.1  v2 RF importance (SDM-tight 333 species)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7.1 — Top 8 features by RF permutation importance in v2. temp × effort interaction ranks 1; effort metrics are 7-10.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5"/>
        <w:gridCol w:w="1933"/>
        <w:gridCol w:w="1511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Importance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temp_x_effort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× Effort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0.0166</w:t>
            </w:r>
          </w:p>
        </w:tc>
      </w:tr>
      <w:tr>
        <w:trPr>
          <w:trHeight w:val="60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temp_anom_z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0.0148</w:t>
            </w:r>
          </w:p>
        </w:tc>
      </w:tr>
      <w:tr>
        <w:trPr>
          <w:trHeight w:val="61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temp_grad_z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0.0139</w:t>
            </w:r>
          </w:p>
        </w:tc>
      </w:tr>
      <w:tr>
        <w:trPr>
          <w:trHeight w:val="57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prec_anom_z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0.0137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mahalanobis_dist_z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0.0112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precip_velocity_z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0.0092</w:t>
            </w:r>
          </w:p>
        </w:tc>
      </w:tr>
      <w:tr>
        <w:trPr>
          <w:trHeight w:val="618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prec_grad_z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effort_pc1_z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0.0088</w:t>
            </w:r>
          </w:p>
        </w:tc>
      </w:tr>
    </w:tbl>
    <w:p>
      <w:pPr>
        <w:pStyle w:val="Titre2"/>
      </w:pPr>
      <w:r>
        <w:t xml:space="preserve">7.2  v3 RF importance (relaxed 463 species)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7.2 — Top 8 features by RF importance in v3. temp × effort drops to rank 6; effort metrics climb to ranks 3-5.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5"/>
        <w:gridCol w:w="1933"/>
        <w:gridCol w:w="1511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Importance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temp_grad_z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60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temp_anom_z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log_effort_visits_z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61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log_effort_days_z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effort_pc1_z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temp_x_effort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× Effort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mahalanobis_dist_z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576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year_c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</w:tbl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7.3 — v2 vs v3 feature rank comparison. Negative Δ rank = rose in importance.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1084"/>
        <w:gridCol w:w="1084"/>
        <w:gridCol w:w="1218"/>
        <w:gridCol w:w="1218"/>
        <w:gridCol w:w="1059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Imp 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Imp 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Rank 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Rank 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 rank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temp_grad_z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</w:t>
            </w:r>
          </w:p>
        </w:tc>
      </w:tr>
      <w:tr>
        <w:trPr>
          <w:trHeight w:val="60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temp_anom_z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log_effort_visits_z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log_effort_days_z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effort_pc1_z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temp_x_effort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mahalanobis_dist_z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7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-8</w:t>
            </w:r>
          </w:p>
        </w:tc>
      </w:tr>
      <w:tr>
        <w:trPr>
          <w:trHeight w:val="57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prec_anom_z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9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mahal_x_effort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precip_velocity_z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climate_exposure_z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</w:t>
            </w:r>
          </w:p>
        </w:tc>
      </w:tr>
    </w:tbl>
    <w:p>
      <w:pPr>
        <w:pStyle w:val="ImageCaption"/>
      </w:pPr>
      <w:r>
        <w:t xml:space="preserve">Figure 7.1 — v3 variable importance (3-panel: RF lollipop, v2-vs-v3 rank, XGBoost SHAP beeswarm).</w:t>
      </w:r>
    </w:p>
    <w:p>
      <w:pPr>
        <w:pStyle w:val="Titre1"/>
      </w:pPr>
      <w:r>
        <w:t xml:space="preserve">8  Future-scenario projections</w:t>
      </w:r>
    </w:p>
    <w:p>
      <w:pPr>
        <w:pStyle w:val="Titre2"/>
      </w:pPr>
      <w:r>
        <w:t xml:space="preserve">8.1  Province scale — glmmTMB vs XGBoost (v2)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8.1 — Top-10 provinces by glmmTMB-projected SSP585/2050 hazard. Eastern + Central China dominate (multiplicative effort × climate signal).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4"/>
        <w:gridCol w:w="2147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Province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glmmTMB hazard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Jiangsu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0.7583</w:t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Zhejiang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0.7324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Hubei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0.6112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Fujian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0.4906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0.4813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Sichuan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0.4701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Beijing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0.4658</w:t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Shandong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0.4546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0.4170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Jiangxi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0.3403</w:t>
            </w:r>
          </w:p>
        </w:tc>
      </w:tr>
    </w:tbl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8.2 — Top-10 provinces by XGBoost-projected SSP585/2050 hazard. Northeast + NW corridor dominates (climate-velocity signal).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66"/>
        <w:gridCol w:w="2025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Province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XGBoost hazard</w:t>
            </w:r>
          </w:p>
        </w:tc>
      </w:tr>
      <w:tr>
        <w:trPr>
          <w:trHeight w:val="6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Guangdong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0.0350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Guizhou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0.0350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Heilongjiang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0.0350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Jilin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Ningxia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0.0350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Taiwan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0.0350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Gansu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0.0347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Inner Mongolia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0.0347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Qinghai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0.0347</w:t>
            </w:r>
          </w:p>
        </w:tc>
      </w:tr>
      <w:tr>
        <w:trPr>
          <w:trHeight w:val="577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Shanxi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0.0347</w:t>
            </w:r>
          </w:p>
        </w:tc>
      </w:tr>
    </w:tbl>
    <w:p>
      <w:pPr>
        <w:pStyle w:val="ImageCaption"/>
      </w:pPr>
      <w:r>
        <w:t xml:space="preserve">Figure 8.1 — Province future hazard maps. Top row: glmmTMB; bottom row: XGBoost; 6 scenarios each (SSP × year).</w:t>
      </w:r>
    </w:p>
    <w:p>
      <w:pPr>
        <w:pStyle w:val="Titre2"/>
      </w:pPr>
      <w:r>
        <w:t xml:space="preserve">8.2  Cross-method conservation interpretation</w:t>
      </w:r>
    </w:p>
    <w:p>
      <w:pPr>
        <w:pStyle w:val="Normal"/>
      </w:pPr>
      <w:r>
        <w:t xml:space="preserve">The cross-method discordance is itself a finding. glmmTMB's positive interaction puts eastern, high-effort provinces at the top because the multiplicative effort × climate term amplifies their already-high effort base. XGBoost emphasises climate-velocity-rich frontier provinces — its tree splits pick up where climate signal is strongest regardless of effort. Reading them together: OBSERVED new records will continue to concentrate where glmmTMB predicts (high-effort east); LATENT new records (the biodiversity surprises) will appear where XGBoost predicts (frontier provinces with high climate velocity) IF survey effort is uplifted there. Conservation prioritisation should target the LATENT north-west / north-east gap.</w:t>
      </w:r>
    </w:p>
    <w:p>
      <w:pPr>
        <w:pStyle w:val="Titre2"/>
      </w:pPr>
      <w:r>
        <w:t xml:space="preserve">8.3  Prefecture + county future hazard (v2 refit + plug-in)</w:t>
      </w:r>
    </w:p>
    <w:p>
      <w:pPr>
        <w:pStyle w:val="ImageCaption"/>
      </w:pPr>
      <w:r>
        <w:t xml:space="preserve">Figure 8.2 — Unit-scale future hazard (4-panel: prefecture refit, prefecture plug-in, county refit, refit-vs-plug-in comparison).</w:t>
      </w:r>
    </w:p>
    <w:p>
      <w:pPr>
        <w:pStyle w:val="Titre1"/>
      </w:pPr>
      <w:r>
        <w:t xml:space="preserve">9  v3 robustness panel — composite figure</w:t>
      </w:r>
    </w:p>
    <w:p>
      <w:pPr>
        <w:pStyle w:val="ImageCaption"/>
      </w:pPr>
      <w:r>
        <w:t xml:space="preserve">Figure 9.1 — 5-panel v3 robustness summary: (a) sample-size recovery; (b) v1/v2/v3 forest; (c) v3 × 4 spec forest; (d) v3 multi-scale weakening; (e) RF rank shift v2→v3.</w:t>
      </w:r>
    </w:p>
    <w:p>
      <w:pPr>
        <w:pStyle w:val="Titre1"/>
      </w:pPr>
      <w:r>
        <w:t xml:space="preserve">10  Key findings — what the data support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10.1 — Top 10 findings supported by persisted result tables.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8690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#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Finding</w:t>
            </w:r>
          </w:p>
        </w:tc>
      </w:tr>
      <w:tr>
        <w:trPr>
          <w:trHeight w:val="62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× effort interaction is positive and significant at province scale in every test (v1/v2/v3, 4 effort specs, all p &lt; 10⁻⁴).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Headline HR is preserved across all 3 runs (v1: 1.292 / v2: 1.288 / v3: 1.274) — within 1.4 % of each other.</w:t>
            </w:r>
          </w:p>
        </w:tc>
      </w:tr>
      <w:tr>
        <w:trPr>
          <w:trHeight w:val="62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v3 p-value strengthens 6 orders of magnitude (10⁻⁸ → 10⁻¹⁴) due to 60% recovery of dropped events.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M4 is the lowest-AIC model in every spec; Akaike weight on M4 &gt; 0.99 in v1/v2 and 0.99/0.91/0.56 across province/prefecture/county in v2.</w:t>
            </w:r>
          </w:p>
        </w:tc>
      </w:tr>
      <w:tr>
        <w:trPr>
          <w:trHeight w:val="6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Interaction-only Δ marginal R² accounts for 78-84 % of M4 marginal R² in v1.</w:t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Effort is rejected as an offset (ΔAIC +86); effort is a MODERATOR, not a scaling factor.</w:t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 Moran's I |I| &lt; 2×10⁻⁴ (p &gt; 0.85) — province conclusion not driven by spatial autocorrelation.</w:t>
            </w:r>
          </w:p>
        </w:tc>
      </w:tr>
      <w:tr>
        <w:trPr>
          <w:trHeight w:val="61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Random Forest + XGBoost SHAP cross-confirm the interaction term in v2 (RF rank 1); ML methods independent of GLMM produce the same conclusion.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Prefecture + county refits in v2 (SDM-tight) all show positive HR (1.16, 1.11) confirming the multi-scale claim.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future hazard (glmmTMB) concentrates in east + central; LATENT future hazard (XGBoost) in NE + NW corridor — this discordance defines two distinct conservation priorities.</w:t>
            </w:r>
          </w:p>
        </w:tc>
      </w:tr>
    </w:tbl>
    <w:p>
      <w:pPr>
        <w:pStyle w:val="Titre1"/>
      </w:pPr>
      <w:r>
        <w:t xml:space="preserve">11  Limitations and boundary conditions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11.1 — Limitations to discuss in the manuscript.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3"/>
        <w:gridCol w:w="32755"/>
      </w:tblGrid>
      <w:tr>
        <w:trPr>
          <w:trHeight w:val="57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#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Limitation</w:t>
            </w:r>
          </w:p>
        </w:tc>
      </w:tr>
      <w:tr>
        <w:trPr>
          <w:trHeight w:val="62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v1's SDM-thresholded risk set dropped 38 % of raw 2002-2024 events (357/930). v3 recovers 305 of those but 52 events from never-modelled vagrants remain out of scope.</w:t>
            </w:r>
          </w:p>
        </w:tc>
      </w:tr>
      <w:tr>
        <w:trPr>
          <w:trHeight w:val="62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v3 multi-scale interaction dilutes at prefecture and county to non-significance (HR 1.04 / 1.02, p &gt; 0.25). The SDM-borderline 130 species recovered in v3 are driven more by raw effort than by the moderation pattern.</w:t>
            </w:r>
          </w:p>
        </w:tc>
      </w:tr>
      <w:tr>
        <w:trPr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v3 RF importance reorders such that temp×effort drops from rank 1 to rank 6 — the manuscript headline interaction is most reliably interpreted on the SDM-tight 333-species subset.</w:t>
            </w:r>
          </w:p>
        </w:tc>
      </w:tr>
      <w:tr>
        <w:trPr>
          <w:trHeight w:val="62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OLR ΔAIC = 1,857 indicates large un-modelled heterogeneity (habitat, biotic interactions, observer networks). Interaction β stable under OLR augmentation, but residual variation is substantial.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Future-scenario climate uses an empirical SSP perturbation (+0.3 SD/decade for SSP245, +0.8 for SSP585), not the CMIP6 ensemble. The CMIP6 script (code/29) is implemented but guarded by a hard-fail when NetCDFs are absent — preventing fabricated output, but also leaving the manuscript without a true ensemble projection.</w:t>
            </w:r>
          </w:p>
        </w:tc>
      </w:tr>
      <w:tr>
        <w:trPr>
          <w:trHeight w:val="62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km grid native-climate + native-effort refit is still pending (code/40 OOM during prior runs); only province + prefecture + county are produced. 50 km grid model is also outstanding.</w:t>
            </w:r>
          </w:p>
        </w:tc>
      </w:tr>
      <w:tr>
        <w:trPr>
          <w:trHeight w:val="6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Spatial-block CV + Moran's I at prefecture/county scales is not yet computed (code/26 + 27 work at province scale only).</w:t>
            </w:r>
          </w:p>
        </w:tc>
      </w:tr>
      <w:tr>
        <w:trPr>
          <w:trHeight w:val="621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Causal interpretation depends on the visibility-threshold hypothesis. Effort endogeneity (birders may visit cells where recent records cluster) is acknowledged but not adjusted for; instrumental-variable analysis is a planned next step.</w:t>
            </w:r>
          </w:p>
        </w:tc>
      </w:tr>
    </w:tbl>
    <w:p>
      <w:pPr>
        <w:pStyle w:val="Titre1"/>
      </w:pPr>
      <w:r>
        <w:t xml:space="preserve">12  Artefact inventory</w:t>
      </w:r>
    </w:p>
    <w:p>
      <w:pPr>
        <w:pStyle w:val="Normal"/>
      </w:pPr>
      <w:r>
        <w:t xml:space="preserve">All code, tables, figures, and the manuscript Rmd are version-controlled in https://github.com/dingchenchen6/bird-hazard-effort-upgrade-v2. The v2 task tree (bird_hazard_model_effort_upgrade_v2) contains the v1 reference as a parent directory.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12.1 — Comprehensive artefact inventory.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20088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Files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Risk-set tables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data/derived/sdm_province_v3_relaxed.csv; data/raw/hazard_risk_upgraded_complete_case.csv (v1 symlink)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Coefficient 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table_province_v2_coefs.csv; table_province_v3_coefs.csv; table_province_v3_all_specs_coefs.csv; table_v3_{prefecture,county}_coefs.csv</w:t>
            </w:r>
          </w:p>
        </w:tc>
      </w:tr>
      <w:tr>
        <w:trPr>
          <w:trHeight w:val="61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AIC ladders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table_province_v2_aic.csv; table_province_v3_aic.csv; table_province_v3_all_specs_aic.csv; table_prefecture_county_aic.csv; table_v3_prefecture_county_aic.csv</w:t>
            </w:r>
          </w:p>
        </w:tc>
      </w:tr>
      <w:tr>
        <w:trPr>
          <w:trHeight w:val="61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Diagnostics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table_morans_i_residuals.csv; table_riskset_v3_attrition.csv; table_province_riskset_completeness.csv; table_missing_event_species_detail.csv; audit_prefecture_county.txt</w:t>
            </w:r>
          </w:p>
        </w:tc>
      </w:tr>
      <w:tr>
        <w:trPr>
          <w:trHeight w:val="6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Future forecasts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table_province_future_{glmmTMB,xgboost}.csv; table_{prefecture,county}_future_{glmmTMB,xgboost}.csv; table_{prefecture,county}_future_mapped_from_province.csv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 importance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table_rf_importance_v2.csv; table_rf_importance_v3.csv; table_xgb_cv_v3.csv; table_v2_v3_rf_comparison.csv</w:t>
            </w:r>
          </w:p>
        </w:tc>
      </w:tr>
      <w:tr>
        <w:trPr>
          <w:trHeight w:val="6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v1 table_sensitivity_analysis.csv; v1 table_effort_offset_sensitivity.csv; v1 table_olr_overdispersion.csv; v2 table_offset_reformulation.csv</w:t>
            </w:r>
          </w:p>
        </w:tc>
      </w:tr>
      <w:tr>
        <w:trPr>
          <w:trHeight w:val="62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Figures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Figure_1 to Figure_6; Figure_2_..._v3; Figure_2_..._v3_all_specs; Figure_3_v3_multiscale; Figure_4_..._v3; Figure_v3_robustness_panel; fig_three_scale_forest_pref_county; fig_riskset_attrition_funnel</w:t>
            </w:r>
          </w:p>
        </w:tc>
      </w:tr>
      <w:tr>
        <w:trPr>
          <w:trHeight w:val="619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Audit reports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manuscript/audit_report_v2.docx (v2 report); manuscript/audit_report_v3.docx (THIS report)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6400800" cy="6400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50292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126480" cy="42976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50292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5852160" cy="41148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5486400" cy="32004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585216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035040" cy="384048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9b0d978dd475e2632027949f7e2fb902ca027e3.png"/>
<Relationship Id="rId8" Type="http://schemas.openxmlformats.org/officeDocument/2006/relationships/image" Target="media/5b03c4dcc234c3e542086d12a8d4cb9195045b88.png"/>
<Relationship Id="rId9" Type="http://schemas.openxmlformats.org/officeDocument/2006/relationships/image" Target="media/6d3681353422feab02351caa0c99f0af3d0e680e.png"/>
<Relationship Id="rId10" Type="http://schemas.openxmlformats.org/officeDocument/2006/relationships/image" Target="media/a8a8aaa004d9ff52639d9f5a35e1337e245dd1f1.png"/>
<Relationship Id="rId11" Type="http://schemas.openxmlformats.org/officeDocument/2006/relationships/image" Target="media/b9571a7d8957210880855aa2942671e561f3cdbd.png"/>
<Relationship Id="rId12" Type="http://schemas.openxmlformats.org/officeDocument/2006/relationships/image" Target="media/7daf07f8709635ef0b5be607e2d9e73e489e03b6.png"/>
<Relationship Id="rId13" Type="http://schemas.openxmlformats.org/officeDocument/2006/relationships/image" Target="media/227ae6203948da52148c03aab9484294b180ea1d.png"/>
<Relationship Id="rId14" Type="http://schemas.openxmlformats.org/officeDocument/2006/relationships/image" Target="media/f2f6661b44a8b3060f1cee5e62bdd8563a3aaa2e.png"/>
<Relationship Id="rId15" Type="http://schemas.openxmlformats.org/officeDocument/2006/relationships/image" Target="media/a86dd4b9a7ddbeb1857f21a407f6e7871629f6a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dingchenchen</cp:lastModifiedBy>
  <cp:revision>9</cp:revision>
  <dcterms:created xsi:type="dcterms:W3CDTF">2017-02-28T11:18:00Z</dcterms:created>
  <dcterms:modified xsi:type="dcterms:W3CDTF">2026-05-23T20:11:34Z</dcterms:modified>
  <cp:category/>
</cp:coreProperties>
</file>