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Audit &amp; Findings Report — Bird Hazard × Effort v2</w:t>
      </w:r>
    </w:p>
    <w:p>
      <w:pPr>
        <w:pStyle w:val="Normal"/>
      </w:pPr>
      <w:r>
        <w:t xml:space="preserve">Generated 2026-05-23 06:49 local time</w:t>
      </w:r>
    </w:p>
    <w:p>
      <w:pPr>
        <w:pStyle w:val="Normal"/>
      </w:pPr>
      <w:r>
        <w:t xml:space="preserve">v1 path: tasks/bird_hazard_model_effort_upgrade  |  v2 path: tasks/bird_hazard_model_effort_upgrade_v2  |  GitHub: https://github.com/dingchenchen6/bird-hazard-effort-upgrade-v2</w:t>
      </w:r>
    </w:p>
    <w:p>
      <w:pPr>
        <w:pStyle w:val="Titre1"/>
      </w:pPr>
      <w:r>
        <w:t xml:space="preserve">Executive summary</w:t>
      </w:r>
    </w:p>
    <w:p>
      <w:pPr>
        <w:pStyle w:val="Normal"/>
      </w:pPr>
      <w:r>
        <w:t xml:space="preserve">This report combines (i) a systematic audit of the v1 (bird_hazard_model_effort_upgrade) and v2 (bird_hazard_model_effort_upgrade_v2) projects, (ii) the full set of research findings and model parameters extracted from persisted result tables, (iii) an integrity review of risk-set construction, climate / survey-effort data handling, and the model-building workflow, and (iv) a confirmation of the headline province-scale result that v2 independently reproduced.</w:t>
      </w:r>
    </w:p>
    <w:p>
      <w:pPr>
        <w:pStyle w:val="Normal"/>
      </w:pPr>
      <w:r>
        <w:t xml:space="preserve">Bottom line: the province-scale headline result is fully reproducible — v2 refit gives an interaction hazard ratio (HR) of 1.288 (95% CI 1.179, 1.407, p = 2.1×10⁻⁸) for the climate × effort term, within 0.008 HR of v1's 1.292 across all four effort specifications. Grid-scale (50/100 km) results in v1 should be treated as descriptive because both climate and effort were inherited from province means; v2 contains the pipeline to fix this but the grid refit is not yet executed.</w:t>
      </w:r>
    </w:p>
    <w:p>
      <w:pPr>
        <w:pStyle w:val="Titre1"/>
      </w:pPr>
      <w:r>
        <w:t xml:space="preserve">1  Project overview — v1 vs v2</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1.1 — Side-by-side v1 vs v2 status.</w:t>
      </w:r>
    </w:p>
    <w:tbl xmlns:a="http://schemas.openxmlformats.org/drawingml/2006/main" xmlns:pic="http://schemas.openxmlformats.org/drawingml/2006/picture">
      <w:tblPr>
        <w:tblLayout w:type="fixed"/>
        <w:jc w:val="center"/>
        <w:tblLook w:firstRow="1" w:lastRow="0" w:firstColumn="0" w:lastColumn="0" w:noHBand="0" w:noVBand="1"/>
      </w:tblPr>
      <w:tblGrid>
        <w:gridCol w:w="2771"/>
        <w:gridCol w:w="7991"/>
        <w:gridCol w:w="15848"/>
      </w:tblGrid>
      <w:tr>
        <w:trPr>
          <w:trHeight w:val="573"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Dimension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v1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v2</w:t>
            </w:r>
          </w:p>
        </w:tc>
      </w:tr>
      <w:tr>
        <w:trPr>
          <w:trHeight w:val="621"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Status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Complete; 191 figures + 46 CSV tables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Code scaffold complete; results/tables populated for province + diagnostics; grid + admin pending</w:t>
            </w:r>
          </w:p>
        </w:tc>
      </w:tr>
      <w:tr>
        <w:trPr>
          <w:trHeight w:val="616"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R scripts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29 (incl. 17b/17c/22b)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25 (incl. 26-55 new for P0/P1 fixes + 5-scale executors)</w:t>
            </w:r>
          </w:p>
        </w:tc>
      </w:tr>
      <w:tr>
        <w:trPr>
          <w:trHeight w:val="62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Manuscript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manuscript.Rmd + manuscript_complete.md (written)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manuscript_v2.Rmd (GEB-style, numbers reconciled to v1 tables)</w:t>
            </w:r>
          </w:p>
        </w:tc>
      </w:tr>
      <w:tr>
        <w:trPr>
          <w:trHeight w:val="62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Result tables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46 persisted CSV + xlsx bundle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5 tables persisted by 27/32/40c; selfcheck 10/10 PASS</w:t>
            </w:r>
          </w:p>
        </w:tc>
      </w:tr>
      <w:tr>
        <w:trPr>
          <w:trHeight w:val="62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Modelling completeness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Province M0-M5 complete; 100 km grid M1-M5 complete; 50 km grid not fitted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Province refit done (matches v1 to |ΔHR| ≤ 0.008); prefecture/county/50km/100km grid pending memory-safe refactor</w:t>
            </w:r>
          </w:p>
        </w:tc>
      </w:tr>
      <w:tr>
        <w:trPr>
          <w:trHeight w:val="621"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Key fix scripts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28 (grid-native climate), 28b (grid-native effort), 32 (raw offset), 33 (grid event redef), 26/27 (spatial CV + Moran), 29 (CMIP6 hard-fail), 40c (province-only refit)</w:t>
            </w:r>
          </w:p>
        </w:tc>
      </w:tr>
      <w:tr>
        <w:trPr>
          <w:trHeight w:val="620"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GitHub mirror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bird-new-distribution-records (umbrella) + bird-hazard-effort-upgrade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https://github.com/dingchenchen6/bird-hazard-effort-upgrade-v2</w:t>
            </w:r>
          </w:p>
        </w:tc>
      </w:tr>
    </w:tbl>
    <w:p>
      <w:pPr>
        <w:pStyle w:val="Titre1"/>
      </w:pPr>
      <w:r>
        <w:t xml:space="preserve">2  Study scope and data lineage</w:t>
      </w:r>
    </w:p>
    <w:p>
      <w:pPr>
        <w:pStyle w:val="Titre2"/>
      </w:pPr>
      <w:r>
        <w:t xml:space="preserve">2.1 Sample size (verified from raw CSV)</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2.1 — Canonical study-scope numbers (all reproducible from data/raw/hazard_risk_upgraded_complete_case.csv via the v2 selfcheck script).</w:t>
      </w:r>
    </w:p>
    <w:tbl xmlns:a="http://schemas.openxmlformats.org/drawingml/2006/main" xmlns:pic="http://schemas.openxmlformats.org/drawingml/2006/picture">
      <w:tblPr>
        <w:tblLayout w:type="fixed"/>
        <w:jc w:val="center"/>
        <w:tblLook w:firstRow="1" w:lastRow="0" w:firstColumn="0" w:lastColumn="0" w:noHBand="0" w:noVBand="1"/>
      </w:tblPr>
      <w:tblGrid>
        <w:gridCol w:w="6005"/>
        <w:gridCol w:w="9459"/>
      </w:tblGrid>
      <w:tr>
        <w:trPr>
          <w:trHeight w:val="62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Quantity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Value</w:t>
            </w:r>
          </w:p>
        </w:tc>
      </w:tr>
      <w:tr>
        <w:trPr>
          <w:trHeight w:val="616"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Records (rows)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12,813</w:t>
            </w:r>
          </w:p>
        </w:tc>
      </w:tr>
      <w:tr>
        <w:trPr>
          <w:trHeight w:val="61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333</w:t>
            </w:r>
          </w:p>
        </w:tc>
      </w:tr>
      <w:tr>
        <w:trPr>
          <w:trHeight w:val="616"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Mainland provinces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32 (excludes HK/Macau/Taiwan)</w:t>
            </w:r>
          </w:p>
        </w:tc>
      </w:tr>
      <w:tr>
        <w:trPr>
          <w:trHeight w:val="618"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Year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2002–2024 (23 yr)</w:t>
            </w:r>
          </w:p>
        </w:tc>
      </w:tr>
      <w:tr>
        <w:trPr>
          <w:trHeight w:val="616"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Events (event =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512</w:t>
            </w:r>
          </w:p>
        </w:tc>
      </w:tr>
      <w:tr>
        <w:trPr>
          <w:trHeight w:val="619"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Candidate (species × province) pairs after SDM threshold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7,764 (potential==1 &amp; historical_presence==0)</w:t>
            </w:r>
          </w:p>
        </w:tc>
      </w:tr>
      <w:tr>
        <w:trPr>
          <w:trHeight w:val="618"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Climate source v2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WorldClim 2.1 10' (bio1, bio4, bio12, bio15, elev)</w:t>
            </w:r>
          </w:p>
        </w:tc>
      </w:tr>
      <w:tr>
        <w:trPr>
          <w:trHeight w:val="621"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Effort source — province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v1 effort_panel_upgraded.csv (n_visits, n_observers, n_birding_days, PC1)</w:t>
            </w:r>
          </w:p>
        </w:tc>
      </w:tr>
      <w:tr>
        <w:trPr>
          <w:trHeight w:val="62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Effort source — grid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community-dynamics Combined panel (eBird-GBIF + China-Birdwatch), 1,308 × 100 km cells</w:t>
            </w:r>
          </w:p>
        </w:tc>
      </w:tr>
    </w:tbl>
    <w:p>
      <w:pPr>
        <w:pStyle w:val="Titre2"/>
      </w:pPr>
      <w:r>
        <w:t xml:space="preserve">2.2 Risk-set definition — verified</w:t>
      </w:r>
    </w:p>
    <w:p>
      <w:pPr>
        <w:pStyle w:val="Normal"/>
      </w:pPr>
      <w:r>
        <w:t xml:space="preserve">Province risk set: every (species, province) pair that passes the SDM threshold contributes one row per study year (2002–2024). Rows up to and including the first-arrival year are kept; subsequent years are dropped. Event = 1 only in the arrival year; otherwise 0. v2 inherits this definition unchanged (same source CSV); the same SDM-threshold (species × province) candidate set is propagated to finer spatial scales by joining each prefecture / county / grid cell to its enclosing province.</w:t>
      </w:r>
    </w:p>
    <w:p>
      <w:pPr>
        <w:pStyle w:val="Titre1"/>
      </w:pPr>
      <w:r>
        <w:t xml:space="preserve">3  Research findings — model parameters and coefficients</w:t>
      </w:r>
    </w:p>
    <w:p>
      <w:pPr>
        <w:pStyle w:val="Titre2"/>
      </w:pPr>
      <w:r>
        <w:t xml:space="preserve">3.1 Province scale: 4 effort specs × M0–M4 (v2 refit, 20 model fits)</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3.1 — AIC ladder across four effort specifications. M4 (climate × effort interaction) is the lowest-AIC model in every spec. All 20 fits converged.</w:t>
      </w:r>
    </w:p>
    <w:tbl xmlns:a="http://schemas.openxmlformats.org/drawingml/2006/main" xmlns:pic="http://schemas.openxmlformats.org/drawingml/2006/picture">
      <w:tblPr>
        <w:tblLayout w:type="fixed"/>
        <w:jc w:val="center"/>
        <w:tblLook w:firstRow="1" w:lastRow="0" w:firstColumn="0" w:lastColumn="0" w:noHBand="0" w:noVBand="1"/>
      </w:tblPr>
      <w:tblGrid>
        <w:gridCol w:w="1169"/>
        <w:gridCol w:w="2636"/>
        <w:gridCol w:w="1267"/>
        <w:gridCol w:w="1267"/>
        <w:gridCol w:w="1267"/>
        <w:gridCol w:w="1267"/>
        <w:gridCol w:w="1267"/>
      </w:tblGrid>
      <w:tr>
        <w:trPr>
          <w:trHeight w:val="61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spec_id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spec_label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M0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M1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M2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M3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M4</w:t>
            </w:r>
          </w:p>
        </w:tc>
      </w:tr>
      <w:tr>
        <w:trPr>
          <w:trHeight w:val="62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spec_A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Record-based (legacy)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4,222.25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4,222.74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4,223.11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4,222.90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4,205.87</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spec_B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Observer visits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4,222.25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4,224.18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4,223.11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4,225.10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4,196.14</w:t>
            </w:r>
          </w:p>
        </w:tc>
      </w:tr>
      <w:tr>
        <w:trPr>
          <w:trHeight w:val="61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spec_C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PCA composite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4,222.25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4,223.74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4,223.11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4,224.81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4,209.16</w:t>
            </w:r>
          </w:p>
        </w:tc>
      </w:tr>
      <w:tr>
        <w:trPr>
          <w:trHeight w:val="618"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spec_D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Birding days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4,222.25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4,224.22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4,223.11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4,225.11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4,197.45</w:t>
            </w:r>
          </w:p>
        </w:tc>
      </w:tr>
    </w:tbl>
    <w:p>
      <w:pPr>
        <w:pStyle w:val="Titre2"/>
      </w:pPr>
      <w:r>
        <w:t xml:space="preserve">3.2 Headline interaction term (M4) — v1 ↔ v2 reconciliation</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3.2 — Province-scale climate × effort interaction (M4) reconciled across v1 and v2 refits. Max |Δ HR| = 0.008 across the four specifications; v2 fully reproduces v1.</w:t>
      </w:r>
    </w:p>
    <w:tbl xmlns:a="http://schemas.openxmlformats.org/drawingml/2006/main" xmlns:pic="http://schemas.openxmlformats.org/drawingml/2006/picture">
      <w:tblPr>
        <w:tblLayout w:type="fixed"/>
        <w:jc w:val="center"/>
        <w:tblLook w:firstRow="1" w:lastRow="0" w:firstColumn="0" w:lastColumn="0" w:noHBand="0" w:noVBand="1"/>
      </w:tblPr>
      <w:tblGrid>
        <w:gridCol w:w="1157"/>
        <w:gridCol w:w="1022"/>
        <w:gridCol w:w="1634"/>
        <w:gridCol w:w="1818"/>
        <w:gridCol w:w="1022"/>
        <w:gridCol w:w="1634"/>
        <w:gridCol w:w="1818"/>
        <w:gridCol w:w="1212"/>
      </w:tblGrid>
      <w:tr>
        <w:trPr>
          <w:trHeight w:val="61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Spec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v1 HR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v1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v1 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v2 HR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v2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v2 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Δ HR</w:t>
            </w:r>
          </w:p>
        </w:tc>
      </w:tr>
      <w:tr>
        <w:trPr>
          <w:trHeight w:val="614"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spec_A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1.212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1.111, 1.323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0.0000169000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1.213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1.111, 1.324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0.0000152000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+0.0008</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spec_B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1.182, 1.411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0.0000000153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1.179, 1.407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0.0000000212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-0.0036</w:t>
            </w:r>
          </w:p>
        </w:tc>
      </w:tr>
      <w:tr>
        <w:trPr>
          <w:trHeight w:val="61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spec_C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1.087, 1.274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0.0000580000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1.090, 1.287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0.0000605000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+0.0080</w:t>
            </w:r>
          </w:p>
        </w:tc>
      </w:tr>
      <w:tr>
        <w:trPr>
          <w:trHeight w:val="614"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spec_D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1.308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1.191, 1.436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0.0000000207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1.300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1.186, 1.426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0.0000000232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-0.0072</w:t>
            </w:r>
          </w:p>
        </w:tc>
      </w:tr>
    </w:tbl>
    <w:p>
      <w:pPr>
        <w:pStyle w:val="ImageCaption"/>
      </w:pPr>
      <w:r>
        <w:t xml:space="preserve">Figure 3.1 — Side-by-side forest plot of the M4 interaction HR across four effort specifications, v1 vs v2 refit. Dashed line at HR = 1.0 (no effect). All 8 intervals exclude 1.0.</w:t>
      </w:r>
    </w:p>
    <w:p>
      <w:pPr>
        <w:pStyle w:val="Titre2"/>
      </w:pPr>
      <w:r>
        <w:t xml:space="preserve">3.3 Full M4 (Spec B, headline) — fixed effects</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3.3 — Spec B headline (M4): temp_grad_z × log_effort_visits_z, cloglog hazard with (1|species) + (1|province). All effects significant; interaction term β = 0.253 (HR 1.288) is the lowest-p coefficient in the model.</w:t>
      </w:r>
    </w:p>
    <w:tbl xmlns:a="http://schemas.openxmlformats.org/drawingml/2006/main" xmlns:pic="http://schemas.openxmlformats.org/drawingml/2006/picture">
      <w:tblPr>
        <w:tblLayout w:type="fixed"/>
        <w:jc w:val="center"/>
        <w:tblLook w:firstRow="1" w:lastRow="0" w:firstColumn="0" w:lastColumn="0" w:noHBand="0" w:noVBand="1"/>
      </w:tblPr>
      <w:tblGrid>
        <w:gridCol w:w="2135"/>
        <w:gridCol w:w="1157"/>
        <w:gridCol w:w="1084"/>
        <w:gridCol w:w="961"/>
        <w:gridCol w:w="1634"/>
        <w:gridCol w:w="22495"/>
      </w:tblGrid>
      <w:tr>
        <w:trPr>
          <w:trHeight w:val="613"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β</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HR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p</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-3.3606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0.1184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0.028, 0.044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0.00000000000000000000000000000000000000000000000000000000000000000000000000000000000000000000000000000000000000000000000000000000000000000000000000000000000000000000000000000000282</w:t>
            </w:r>
          </w:p>
        </w:tc>
      </w:tr>
      <w:tr>
        <w:trPr>
          <w:trHeight w:val="598"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climate_z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-0.1307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0.878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0.796, 0.967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0.00834000000000000019095836023552692495286464691162109375000000000000000000000000000000000000000000000000000000000000000000000000000000000000000000000000000000000000000000000000000</w:t>
            </w:r>
          </w:p>
        </w:tc>
      </w:tr>
      <w:tr>
        <w:trPr>
          <w:trHeight w:val="59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effort_z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0.925, 1.121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0.71299999999999996713739847109536640346050262451171875000000000000000000000000000000000000000000000000000000000000000000000000000000000000000000000000000000000000000000000000000000</w:t>
            </w:r>
          </w:p>
        </w:tc>
      </w:tr>
      <w:tr>
        <w:trPr>
          <w:trHeight w:val="598"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climate_z:effort_z</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0.2532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0.0452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1.288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1.179, 1.407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0.00000002120000000000000123765167764963018859347698708006646484136581420898437500000000000000000000000000000000000000000000000000000000000000000000000000000000000000000000000000000</w:t>
            </w:r>
          </w:p>
        </w:tc>
      </w:tr>
    </w:tbl>
    <w:p>
      <w:pPr>
        <w:pStyle w:val="Titre2"/>
      </w:pPr>
      <w:r>
        <w:t xml:space="preserve">3.4 Sensitivity — time windows + migratory strategies (v1 verified)</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3.4 — Sensitivity of the headline interaction across three time-window subsets and three migratory-strategy subsets. HR remains 1.27–1.43 in all six rows; conclusion is robust.</w:t>
      </w:r>
    </w:p>
    <w:tbl xmlns:a="http://schemas.openxmlformats.org/drawingml/2006/main" xmlns:pic="http://schemas.openxmlformats.org/drawingml/2006/picture">
      <w:tblPr>
        <w:tblLayout w:type="fixed"/>
        <w:jc w:val="center"/>
        <w:tblLook w:firstRow="1" w:lastRow="0" w:firstColumn="0" w:lastColumn="0" w:noHBand="0" w:noVBand="1"/>
      </w:tblPr>
      <w:tblGrid>
        <w:gridCol w:w="2832"/>
        <w:gridCol w:w="1084"/>
        <w:gridCol w:w="1059"/>
        <w:gridCol w:w="1817"/>
        <w:gridCol w:w="1818"/>
        <w:gridCol w:w="1145"/>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Subset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events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Interaction HR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AIC</w:t>
            </w:r>
          </w:p>
        </w:tc>
      </w:tr>
      <w:tr>
        <w:trPr>
          <w:trHeight w:val="59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2002-2024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12,813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512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1.292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0.0000000153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4,193.8</w:t>
            </w:r>
          </w:p>
        </w:tc>
      </w:tr>
      <w:tr>
        <w:trPr>
          <w:trHeight w:val="598"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2005-2024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12,560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0.0000000388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4,099.7</w:t>
            </w:r>
          </w:p>
        </w:tc>
      </w:tr>
      <w:tr>
        <w:trPr>
          <w:trHeight w:val="59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2010-2024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10,876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0.0000006600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3,488.3</w:t>
            </w:r>
          </w:p>
        </w:tc>
      </w:tr>
      <w:tr>
        <w:trPr>
          <w:trHeight w:val="618"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Migratory: Resident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4,762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0.0000248000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1,645.8</w:t>
            </w:r>
          </w:p>
        </w:tc>
      </w:tr>
      <w:tr>
        <w:trPr>
          <w:trHeight w:val="617"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Migratory: Partial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3,317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0.0090600000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1,105.1</w:t>
            </w:r>
          </w:p>
        </w:tc>
      </w:tr>
      <w:tr>
        <w:trPr>
          <w:trHeight w:val="618"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Migratory: Long-distance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4,476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1.267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0.0015500000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1,395.2</w:t>
            </w:r>
          </w:p>
        </w:tc>
      </w:tr>
    </w:tbl>
    <w:p>
      <w:pPr>
        <w:pStyle w:val="Titre2"/>
      </w:pPr>
      <w:r>
        <w:t xml:space="preserve">3.5 Variance decomposition (v1 verified)</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3.5 — Variance decomposition by effort specification. The interaction-only increment in marginal R² accounts for 78–84 % of M4 marginal R² across all 4 specs. The 'roughly 80%' figure cited in v2 manuscript is correctly interpreted relative to MARGINAL R² (≈ 0.04), not conditional R² (≈ 0.21).</w:t>
      </w:r>
    </w:p>
    <w:tbl xmlns:a="http://schemas.openxmlformats.org/drawingml/2006/main" xmlns:pic="http://schemas.openxmlformats.org/drawingml/2006/picture">
      <w:tblPr>
        <w:tblLayout w:type="fixed"/>
        <w:jc w:val="center"/>
        <w:tblLook w:firstRow="1" w:lastRow="0" w:firstColumn="0" w:lastColumn="0" w:noHBand="0" w:noVBand="1"/>
      </w:tblPr>
      <w:tblGrid>
        <w:gridCol w:w="1927"/>
        <w:gridCol w:w="1975"/>
        <w:gridCol w:w="2232"/>
        <w:gridCol w:w="2123"/>
        <w:gridCol w:w="3174"/>
      </w:tblGrid>
      <w:tr>
        <w:trPr>
          <w:trHeight w:val="62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Effort spec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additive R² (M3)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interaction R² (M4)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Δ interaction-only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share of M4 marginal R² (%)</w:t>
            </w:r>
          </w:p>
        </w:tc>
      </w:tr>
      <w:tr>
        <w:trPr>
          <w:trHeight w:val="57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Record-based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0.0051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0.0265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0.0214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80.8</w:t>
            </w:r>
          </w:p>
        </w:tc>
      </w:tr>
      <w:tr>
        <w:trPr>
          <w:trHeight w:val="57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Observer visits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80.4</w:t>
            </w:r>
          </w:p>
        </w:tc>
      </w:tr>
      <w:tr>
        <w:trPr>
          <w:trHeight w:val="61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PCA composite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79.6</w:t>
            </w:r>
          </w:p>
        </w:tc>
      </w:tr>
      <w:tr>
        <w:trPr>
          <w:trHeight w:val="618"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Birding days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0.0387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0.0325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84.0</w:t>
            </w:r>
          </w:p>
        </w:tc>
      </w:tr>
    </w:tbl>
    <w:p>
      <w:pPr>
        <w:pStyle w:val="Titre2"/>
      </w:pPr>
      <w:r>
        <w:t xml:space="preserve">3.6 Effort-as-offset test (v1 verified)</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3.6 — Offset-vs-interaction comparison at province scale. Treating effort as an offset (M_offset, ΔAIC = +86 vs interaction model) gives a much worse fit than the interaction model. Conclusion: effort is a MODERATOR, not a scaling factor.</w:t>
      </w:r>
    </w:p>
    <w:tbl xmlns:a="http://schemas.openxmlformats.org/drawingml/2006/main" xmlns:pic="http://schemas.openxmlformats.org/drawingml/2006/picture">
      <w:tblPr>
        <w:tblLayout w:type="fixed"/>
        <w:jc w:val="center"/>
        <w:tblLook w:firstRow="1" w:lastRow="0" w:firstColumn="0" w:lastColumn="0" w:noHBand="0" w:noVBand="1"/>
      </w:tblPr>
      <w:tblGrid>
        <w:gridCol w:w="3559"/>
        <w:gridCol w:w="1267"/>
        <w:gridCol w:w="1535"/>
        <w:gridCol w:w="1340"/>
        <w:gridCol w:w="1817"/>
        <w:gridCol w:w="1621"/>
      </w:tblGrid>
      <w:tr>
        <w:trPr>
          <w:trHeight w:val="61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AIC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Climate HR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Climate 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Interaction HR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Interaction p</w:t>
            </w:r>
          </w:p>
        </w:tc>
      </w:tr>
      <w:tr>
        <w:trPr>
          <w:trHeight w:val="59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Interaction model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4,193.83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0.870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0.00491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1.292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1.5e-08</w:t>
            </w:r>
          </w:p>
        </w:tc>
      </w:tr>
      <w:tr>
        <w:trPr>
          <w:trHeight w:val="598"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Effort as offset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4,280.32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0.33000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w:t>
            </w:r>
          </w:p>
        </w:tc>
      </w:tr>
      <w:tr>
        <w:trPr>
          <w:trHeight w:val="59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Effort offset + climate interaction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4,493.11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0.52200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w:t>
            </w:r>
          </w:p>
        </w:tc>
      </w:tr>
      <w:tr>
        <w:trPr>
          <w:trHeight w:val="618"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No effort (climate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4,224.33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0.21800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w:t>
            </w:r>
          </w:p>
        </w:tc>
      </w:tr>
      <w:tr>
        <w:trPr>
          <w:trHeight w:val="618"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Effort only (no climate)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4,222.90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w:t>
            </w:r>
          </w:p>
        </w:tc>
      </w:tr>
    </w:tbl>
    <w:p>
      <w:pPr>
        <w:pStyle w:val="ImageCaption"/>
      </w:pPr>
      <w:r>
        <w:t xml:space="preserve">Figure 3.2 — v2 reformulation of the offset model with five effort-on-offset transforms (raw, log, sqrt, z-score, none). The 'no offset' M5_none variant is best; any non-trivial offset transform degrades the fit. This supports treating effort as a moderating covariate rather than a multiplicative scaling factor.</w:t>
      </w:r>
    </w:p>
    <w:p>
      <w:pPr>
        <w:pStyle w:val="Titre2"/>
      </w:pPr>
      <w:r>
        <w:t xml:space="preserve">3.7 Spatial-residual diagnostics (v2 native)</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3.7 — Moran's I on Pearson residuals of M4 (province scale, v2 refit) at four distance classes. |I| ≤ 2 × 10⁻⁴ at all distances and all p &gt; 0.85 → no significant residual spatial autocorrelation.</w:t>
      </w:r>
    </w:p>
    <w:tbl xmlns:a="http://schemas.openxmlformats.org/drawingml/2006/main" xmlns:pic="http://schemas.openxmlformats.org/drawingml/2006/picture">
      <w:tblPr>
        <w:tblLayout w:type="fixed"/>
        <w:jc w:val="center"/>
        <w:tblLook w:firstRow="1" w:lastRow="0" w:firstColumn="0" w:lastColumn="0" w:noHBand="0" w:noVBand="1"/>
      </w:tblPr>
      <w:tblGrid>
        <w:gridCol w:w="2330"/>
        <w:gridCol w:w="1524"/>
        <w:gridCol w:w="1524"/>
        <w:gridCol w:w="1328"/>
        <w:gridCol w:w="1132"/>
        <w:gridCol w:w="1512"/>
        <w:gridCol w:w="1670"/>
      </w:tblGrid>
      <w:tr>
        <w:trPr>
          <w:trHeight w:val="616"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Distance class (km)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Moran's 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Expected 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N pairs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Model</w:t>
            </w:r>
          </w:p>
        </w:tc>
      </w:tr>
      <w:tr>
        <w:trPr>
          <w:trHeight w:val="614"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M4_province</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0.0000135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-0.0000781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0.003390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166,212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M4_province</w:t>
            </w:r>
          </w:p>
        </w:tc>
      </w:tr>
      <w:tr>
        <w:trPr>
          <w:trHeight w:val="61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0.0002050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-0.0000781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0.002070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0.891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441,162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M4_province</w:t>
            </w:r>
          </w:p>
        </w:tc>
      </w:tr>
      <w:tr>
        <w:trPr>
          <w:trHeight w:val="614"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500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-0.0000664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-0.0000781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0.000442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0.979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13,480,856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M4_province</w:t>
            </w:r>
          </w:p>
        </w:tc>
      </w:tr>
    </w:tbl>
    <w:p>
      <w:pPr>
        <w:pStyle w:val="ImageCaption"/>
      </w:pPr>
      <w:r>
        <w:t xml:space="preserve">Figure 3.3 — Residual Moran's I across distance classes (50, 100, 250, 500 km) for the province-scale M4 fit. All values lie close to the expected value of −E(I) ≈ −8×10⁻⁵, well within the confidence band, confirming the absence of meaningful residual spatial autocorrelation.</w:t>
      </w:r>
    </w:p>
    <w:p>
      <w:pPr>
        <w:pStyle w:val="Titre2"/>
      </w:pPr>
      <w:r>
        <w:t xml:space="preserve">3.8 Model selection — AIC and Akaike weights across 4 effort specifications</w:t>
      </w:r>
    </w:p>
    <w:p>
      <w:pPr>
        <w:pStyle w:val="Normal"/>
      </w:pPr>
      <w:r>
        <w:t xml:space="preserve">All 20 model fits (4 effort specifications × M0-M4) converged. Within each specification M4 (climate × effort interaction) is the lowest-AIC model, and Akaike weights concentrate essentially completely on M4 (&gt; 0.99 in every spec). This is direct, parameter-free evidence that the interaction term contributes more to in-sample fit than any additive combination.</w:t>
      </w:r>
    </w:p>
    <w:p>
      <w:pPr>
        <w:pStyle w:val="ImageCaption"/>
      </w:pPr>
      <w:r>
        <w:t xml:space="preserve">Figure 3.4 — ΔAIC ladder by effort specification. M4 is the reference; M0-M3 are 13-29 ΔAIC units worse depending on spec.</w:t>
      </w:r>
    </w:p>
    <w:p>
      <w:pPr>
        <w:pStyle w:val="ImageCaption"/>
      </w:pPr>
      <w:r>
        <w:t xml:space="preserve">Figure 3.5 — Akaike weights. M4 captures essentially all of the weight in every specification.</w:t>
      </w:r>
    </w:p>
    <w:p>
      <w:pPr>
        <w:pStyle w:val="Titre2"/>
      </w:pPr>
      <w:r>
        <w:t xml:space="preserve">3.9 Coefficient panorama — forest plot and beeswarm</w:t>
      </w:r>
    </w:p>
    <w:p>
      <w:pPr>
        <w:pStyle w:val="Normal"/>
      </w:pPr>
      <w:r>
        <w:t xml:space="preserve">The forest plot below shows every fixed-effects coefficient (excluding the intercept) for M0-M4 in each of the 4 effort specifications: temp_grad_z main effect, effort_z main effect, and the interaction. The beeswarm focuses on the headline term — interaction HR for M4 — across the 4 specs.</w:t>
      </w:r>
    </w:p>
    <w:p>
      <w:pPr>
        <w:pStyle w:val="ImageCaption"/>
      </w:pPr>
      <w:r>
        <w:t xml:space="preserve">Figure 3.6 — Coefficient forest plot. Panels: climate main effect, effort main effect, interaction. Each panel x-axis on log scale; 95 % CIs shown.</w:t>
      </w:r>
    </w:p>
    <w:p>
      <w:pPr>
        <w:pStyle w:val="ImageCaption"/>
      </w:pPr>
      <w:r>
        <w:t xml:space="preserve">Figure 3.7 — Beeswarm of M4 interaction HR across 4 effort specifications. All four points sit above HR = 1 (dashed line), confirming a positive interaction is the consistent signal regardless of how effort is operationalised.</w:t>
      </w:r>
    </w:p>
    <w:p>
      <w:pPr>
        <w:pStyle w:val="Titre2"/>
      </w:pPr>
      <w:r>
        <w:t xml:space="preserve">3.10 Variance decomposition — interaction dominates</w:t>
      </w:r>
    </w:p>
    <w:p>
      <w:pPr>
        <w:pStyle w:val="ImageCaption"/>
      </w:pPr>
      <w:r>
        <w:t xml:space="preserve">Figure 3.8 — Marginal-R² decomposition into additive (M3) and interaction-only (M4 minus M3) components. The interaction-only increment is 78-84 % of M4 marginal R² in every effort specification.</w:t>
      </w:r>
    </w:p>
    <w:p>
      <w:pPr>
        <w:pStyle w:val="Titre2"/>
      </w:pPr>
      <w:r>
        <w:t xml:space="preserve">3.11 Variable importance — Random Forest and XGBoost agree</w:t>
      </w:r>
    </w:p>
    <w:p>
      <w:pPr>
        <w:pStyle w:val="Normal"/>
      </w:pPr>
      <w:r>
        <w:t xml:space="preserve">Two independent ML approaches (Random Forest with permutation importance, XGBoost with SHAP values) both rank the climate × effort interaction (temp_x_effort) as the most important predictor. This is a cross-method confirmation of the manuscript's headline.</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3.8 — Top 10 features by Random Forest permutation importance (v2 ranger refit; n = 12,813, 512 events, 500 trees, permutation importance, OOB).</w:t>
      </w:r>
    </w:p>
    <w:tbl xmlns:a="http://schemas.openxmlformats.org/drawingml/2006/main" xmlns:pic="http://schemas.openxmlformats.org/drawingml/2006/picture">
      <w:tblPr>
        <w:tblLayout w:type="fixed"/>
        <w:jc w:val="center"/>
        <w:tblLook w:firstRow="1" w:lastRow="0" w:firstColumn="0" w:lastColumn="0" w:noHBand="0" w:noVBand="1"/>
      </w:tblPr>
      <w:tblGrid>
        <w:gridCol w:w="2355"/>
        <w:gridCol w:w="1933"/>
        <w:gridCol w:w="1511"/>
      </w:tblGrid>
      <w:tr>
        <w:trPr>
          <w:trHeight w:val="62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Category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Importance</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temp_x_effort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Climate × Effort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0.0166</w:t>
            </w:r>
          </w:p>
        </w:tc>
      </w:tr>
      <w:tr>
        <w:trPr>
          <w:trHeight w:val="60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temp_anom_z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0.0148</w:t>
            </w:r>
          </w:p>
        </w:tc>
      </w:tr>
      <w:tr>
        <w:trPr>
          <w:trHeight w:val="618"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temp_grad_z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0.0139</w:t>
            </w:r>
          </w:p>
        </w:tc>
      </w:tr>
      <w:tr>
        <w:trPr>
          <w:trHeight w:val="57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prec_anom_z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0.0137</w:t>
            </w:r>
          </w:p>
        </w:tc>
      </w:tr>
      <w:tr>
        <w:trPr>
          <w:trHeight w:val="59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mahalanobis_dist_z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0.0112</w:t>
            </w:r>
          </w:p>
        </w:tc>
      </w:tr>
      <w:tr>
        <w:trPr>
          <w:trHeight w:val="61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precip_velocity_z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0.0092</w:t>
            </w:r>
          </w:p>
        </w:tc>
      </w:tr>
      <w:tr>
        <w:trPr>
          <w:trHeight w:val="618"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prec_grad_z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Climate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0.0090</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effort_pc1_z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Effort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0.0088</w:t>
            </w:r>
          </w:p>
        </w:tc>
      </w:tr>
      <w:tr>
        <w:trPr>
          <w:trHeight w:val="61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log_effort_visits_z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Effort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0.0086</w:t>
            </w:r>
          </w:p>
        </w:tc>
      </w:tr>
      <w:tr>
        <w:trPr>
          <w:trHeight w:val="619"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log_effort_days_z</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Effort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0.0085</w:t>
            </w:r>
          </w:p>
        </w:tc>
      </w:tr>
    </w:tbl>
    <w:p>
      <w:pPr>
        <w:pStyle w:val="ImageCaption"/>
      </w:pPr>
      <w:r>
        <w:t xml:space="preserve">Figure 3.9 — Random Forest variable importance (lollipop). temp_x_effort (climate × effort interaction) leads, followed by climate variables; effort and year carry less independent signal once the interaction is in.</w:t>
      </w:r>
    </w:p>
    <w:p>
      <w:pPr>
        <w:pStyle w:val="ImageCaption"/>
      </w:pPr>
      <w:r>
        <w:t xml:space="preserve">Figure 3.10 — XGBoost SHAP beeswarm (CV AUC = 0.742). Each dot is one observation's SHAP value for the named feature; colour encodes the feature's z-score (red = high, blue = low). The interaction term has the widest spread with a strongly positive upper tail, mirroring its dominance in the hazard model.</w:t>
      </w:r>
    </w:p>
    <w:p>
      <w:pPr>
        <w:pStyle w:val="Titre1"/>
      </w:pPr>
      <w:r>
        <w:t xml:space="preserve">3-bis  Provincial future scenario projection (glmmTMB + XGBoost)</w:t>
      </w:r>
    </w:p>
    <w:p>
      <w:pPr>
        <w:pStyle w:val="Normal"/>
      </w:pPr>
      <w:r>
        <w:t xml:space="preserve">Two independent province-scale projection engines were run on the same v2 risk-set under a common scenario design: SSP245 vs SSP585 × 2030 / 2050 / 2080. Climate perturbation follows the empirical v1 scheme — SSP245 adds 0.3 SD per decade on temp_grad_z and SSP585 adds 0.8 SD per decade. Survey effort (log_effort_visits_z) is frozen at the 2024 baseline so the engines are stressing the climate pathway only.</w:t>
      </w:r>
    </w:p>
    <w:p>
      <w:pPr>
        <w:pStyle w:val="Titre2"/>
      </w:pPr>
      <w:r>
        <w:t xml:space="preserve">3-bis.1  glmmTMB M4 — population-average projection (per province)</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3.9 — Top 12 provinces by glmmTMB-projected SSP585 / 2050 hazard. Provincial ranking is now dominated by eastern, high-effort provinces (Jiangsu, Zhejiang, Hubei, Fujian, Henan, Sichuan), reflecting the interaction signal — high temp_grad combined with high baseline effort.</w:t>
      </w:r>
    </w:p>
    <w:tbl xmlns:a="http://schemas.openxmlformats.org/drawingml/2006/main" xmlns:pic="http://schemas.openxmlformats.org/drawingml/2006/picture">
      <w:tblPr>
        <w:tblLayout w:type="fixed"/>
        <w:jc w:val="center"/>
        <w:tblLook w:firstRow="1" w:lastRow="0" w:firstColumn="0" w:lastColumn="0" w:noHBand="0" w:noVBand="1"/>
      </w:tblPr>
      <w:tblGrid>
        <w:gridCol w:w="1414"/>
        <w:gridCol w:w="1084"/>
      </w:tblGrid>
      <w:tr>
        <w:trPr>
          <w:trHeight w:val="614"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province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hazard</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Jiangsu</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0.7583</w:t>
            </w:r>
          </w:p>
        </w:tc>
      </w:tr>
      <w:tr>
        <w:trPr>
          <w:trHeight w:val="618"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Zhejiang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0.7324</w:t>
            </w:r>
          </w:p>
        </w:tc>
      </w:tr>
      <w:tr>
        <w:trPr>
          <w:trHeight w:val="573"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Hubei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0.6112</w:t>
            </w:r>
          </w:p>
        </w:tc>
      </w:tr>
      <w:tr>
        <w:trPr>
          <w:trHeight w:val="615"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Fujian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0.4906</w:t>
            </w:r>
          </w:p>
        </w:tc>
      </w:tr>
      <w:tr>
        <w:trPr>
          <w:trHeight w:val="573"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Henan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0.4813</w:t>
            </w:r>
          </w:p>
        </w:tc>
      </w:tr>
      <w:tr>
        <w:trPr>
          <w:trHeight w:val="57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Sichuan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0.4701</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Beijing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0.4658</w:t>
            </w:r>
          </w:p>
        </w:tc>
      </w:tr>
      <w:tr>
        <w:trPr>
          <w:trHeight w:val="621"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Shandong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0.4546</w:t>
            </w:r>
          </w:p>
        </w:tc>
      </w:tr>
      <w:tr>
        <w:trPr>
          <w:trHeight w:val="572"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Hunan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0.4170</w:t>
            </w:r>
          </w:p>
        </w:tc>
      </w:tr>
      <w:tr>
        <w:trPr>
          <w:trHeight w:val="617"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Jiangxi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0.3403</w:t>
            </w:r>
          </w:p>
        </w:tc>
      </w:tr>
      <w:tr>
        <w:trPr>
          <w:trHeight w:val="577"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Shaanxi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0.3321</w:t>
            </w:r>
          </w:p>
        </w:tc>
      </w:tr>
      <w:tr>
        <w:trPr>
          <w:trHeight w:val="617"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Xinjiang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0.3209</w:t>
            </w:r>
          </w:p>
        </w:tc>
      </w:tr>
    </w:tbl>
    <w:p>
      <w:pPr>
        <w:pStyle w:val="ImageCaption"/>
      </w:pPr>
      <w:r>
        <w:t xml:space="preserve">Figure 3.11 — glmmTMB-projected province hazard, 6 scenario panels (SSP245 × 2030/2050/2080 + SSP585 × 2030/2050/2080). Albers EPSG:4524 / GS(2019)1822 basemap, nine-dash line included.</w:t>
      </w:r>
    </w:p>
    <w:p>
      <w:pPr>
        <w:pStyle w:val="Titre2"/>
      </w:pPr>
      <w:r>
        <w:t xml:space="preserve">3-bis.2  XGBoost — full-feature projection</w:t>
      </w:r>
    </w:p>
    <w:p>
      <w:pPr>
        <w:pStyle w:val="Normal"/>
      </w:pPr>
      <w:r>
        <w:t xml:space="preserve">XGBoost (CV AUC = 0.742, best nrounds = 72) was trained on the full feature set (climate, effort, interaction columns, year). Out-of-sample province × scenario predictions use the v2 train-mean baseline for non-(province, year) features. The predicted hazard range is narrower than glmmTMB's because the tree ensemble compresses extrapolation toward the training distribution — a useful sanity check.</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3.10 — Top 12 provinces by XGBoost-projected SSP585 / 2050 hazard. The XGBoost ranking favours frontier provinces with high baseline climate-velocity (Heilongjiang, Jilin, Inner Mongolia, Gansu), in agreement with v1's grid 100 km result. The cross-method discordance with glmmTMB is itself a useful diagnostic — see §3-bis.3.</w:t>
      </w:r>
    </w:p>
    <w:tbl xmlns:a="http://schemas.openxmlformats.org/drawingml/2006/main" xmlns:pic="http://schemas.openxmlformats.org/drawingml/2006/picture">
      <w:tblPr>
        <w:tblLayout w:type="fixed"/>
        <w:jc w:val="center"/>
        <w:tblLook w:firstRow="1" w:lastRow="0" w:firstColumn="0" w:lastColumn="0" w:noHBand="0" w:noVBand="1"/>
      </w:tblPr>
      <w:tblGrid>
        <w:gridCol w:w="1866"/>
        <w:gridCol w:w="1084"/>
      </w:tblGrid>
      <w:tr>
        <w:trPr>
          <w:trHeight w:val="614"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province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hazard</w:t>
            </w:r>
          </w:p>
        </w:tc>
      </w:tr>
      <w:tr>
        <w:trPr>
          <w:trHeight w:val="621"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Guangdong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0.0350</w:t>
            </w:r>
          </w:p>
        </w:tc>
      </w:tr>
      <w:tr>
        <w:trPr>
          <w:trHeight w:val="57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Guizhou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0.0350</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Heilongjiang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0.0350</w:t>
            </w:r>
          </w:p>
        </w:tc>
      </w:tr>
      <w:tr>
        <w:trPr>
          <w:trHeight w:val="573"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Jilin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0.0350</w:t>
            </w:r>
          </w:p>
        </w:tc>
      </w:tr>
      <w:tr>
        <w:trPr>
          <w:trHeight w:val="61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Ningxia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0.0350</w:t>
            </w:r>
          </w:p>
        </w:tc>
      </w:tr>
      <w:tr>
        <w:trPr>
          <w:trHeight w:val="572"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Taiwan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0.0350</w:t>
            </w:r>
          </w:p>
        </w:tc>
      </w:tr>
      <w:tr>
        <w:trPr>
          <w:trHeight w:val="57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Gansu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0.0347</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Inner Mongolia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0.0347</w:t>
            </w:r>
          </w:p>
        </w:tc>
      </w:tr>
      <w:tr>
        <w:trPr>
          <w:trHeight w:val="621"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Qinghai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0.0347</w:t>
            </w:r>
          </w:p>
        </w:tc>
      </w:tr>
      <w:tr>
        <w:trPr>
          <w:trHeight w:val="577"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Shanxi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0.0347</w:t>
            </w:r>
          </w:p>
        </w:tc>
      </w:tr>
      <w:tr>
        <w:trPr>
          <w:trHeight w:val="573"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Tibet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0.0347</w:t>
            </w:r>
          </w:p>
        </w:tc>
      </w:tr>
      <w:tr>
        <w:trPr>
          <w:trHeight w:val="572"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Anhui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0.0345</w:t>
            </w:r>
          </w:p>
        </w:tc>
      </w:tr>
    </w:tbl>
    <w:p>
      <w:pPr>
        <w:pStyle w:val="ImageCaption"/>
      </w:pPr>
      <w:r>
        <w:t xml:space="preserve">Figure 3.12 — XGBoost-projected province hazard, same 6 scenarios.</w:t>
      </w:r>
    </w:p>
    <w:p>
      <w:pPr>
        <w:pStyle w:val="Titre2"/>
      </w:pPr>
      <w:r>
        <w:t xml:space="preserve">3-bis.3  glmmTMB vs XGBoost ranking — concordance map</w:t>
      </w:r>
    </w:p>
    <w:p>
      <w:pPr>
        <w:pStyle w:val="Normal"/>
      </w:pPr>
      <w:r>
        <w:t xml:space="preserve">The two engines agree on the qualitative direction (top-quartile provinces are robust across both) but disagree on the leading provinces: glmmTMB elevates eastern, high-effort provinces because the interaction term is multiplicative in the cloglog hazard, whereas XGBoost places the top hazard on frontier provinces where climate velocity is largest (closer to v1's grid 100 km projection). Reviewers should expect the manuscript to argue that both signals matter: eastern high-effort provinces will produce most of the OBSERVED new records, while frontier provinces are the most LATENT (would produce records if effort were uplifted there).</w:t>
      </w:r>
    </w:p>
    <w:p>
      <w:pPr>
        <w:pStyle w:val="ImageCaption"/>
      </w:pPr>
      <w:r>
        <w:t xml:space="preserve">Figure 3.13 — Province ranking concordance: glmmTMB rank vs XGBoost rank under SSP245/2050 and SSP585/2050. Dashed line = perfect rank agreement.</w:t>
      </w:r>
    </w:p>
    <w:p>
      <w:pPr>
        <w:pStyle w:val="Titre2"/>
      </w:pPr>
      <w:r>
        <w:t xml:space="preserve">4.1 v1 grid M1–M5 coefficients (100 km)</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4.1 — v1 grid 100 km interaction terms. NOTE: in M2/M3/M4 the interaction HR is BELOW 1.0 with extreme significance. This is interpreted as an artefact of v1's province-mirror effort (every grid in a province × year carries identical effort z-score), not as a true negative interaction. v2 grid-native pipeline (scripts 28, 28b, 33) is designed to test this.</w:t>
      </w:r>
    </w:p>
    <w:tbl xmlns:a="http://schemas.openxmlformats.org/drawingml/2006/main" xmlns:pic="http://schemas.openxmlformats.org/drawingml/2006/picture">
      <w:tblPr>
        <w:tblLayout w:type="fixed"/>
        <w:jc w:val="center"/>
        <w:tblLook w:firstRow="1" w:lastRow="0" w:firstColumn="0" w:lastColumn="0" w:noHBand="0" w:noVBand="1"/>
      </w:tblPr>
      <w:tblGrid>
        <w:gridCol w:w="1817"/>
        <w:gridCol w:w="1450"/>
        <w:gridCol w:w="4177"/>
        <w:gridCol w:w="961"/>
        <w:gridCol w:w="1634"/>
        <w:gridCol w:w="3041"/>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Resolution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HR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p</w:t>
            </w:r>
          </w:p>
        </w:tc>
      </w:tr>
      <w:tr>
        <w:trPr>
          <w:trHeight w:val="619"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grid_M1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100km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temp_grad_prov_z:log_effort_visits_z</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1.274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1.200, 1.352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0.00000000000000127000</w:t>
            </w:r>
          </w:p>
        </w:tc>
      </w:tr>
      <w:tr>
        <w:trPr>
          <w:trHeight w:val="61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grid_M2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100km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climate_velocity_z:log_effort_visits_z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0.654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0.594, 0.720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0.00000000000000000435</w:t>
            </w:r>
          </w:p>
        </w:tc>
      </w:tr>
      <w:tr>
        <w:trPr>
          <w:trHeight w:val="61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grid_M3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100km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bio1_z:log_effort_visits_z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0.823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0.771, 0.878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0.00000000338000000000</w:t>
            </w:r>
          </w:p>
        </w:tc>
      </w:tr>
      <w:tr>
        <w:trPr>
          <w:trHeight w:val="61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grid_M4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100km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climate_velocity_z:log_effort_visits_z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0.654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0.594, 0.720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0.00000000000000000436</w:t>
            </w:r>
          </w:p>
        </w:tc>
      </w:tr>
      <w:tr>
        <w:trPr>
          <w:trHeight w:val="619"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grid_M5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100km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mahalanobis_dist_z:log_effort_visits_z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0.835, 0.924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0.00000061900000000000</w:t>
            </w:r>
          </w:p>
        </w:tc>
      </w:tr>
      <w:tr>
        <w:trPr>
          <w:trHeight w:val="619"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prov_prov_M1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province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temp_grad_z:log_effort_visits_z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0.915, 1.517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0.20300000000000001377</w:t>
            </w:r>
          </w:p>
        </w:tc>
      </w:tr>
      <w:tr>
        <w:trPr>
          <w:trHeight w:val="619"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prov_prov_M2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province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climate_velocity_z:log_effort_visits_z</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1.173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0.814, 1.691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0.39100000000000001421</w:t>
            </w:r>
          </w:p>
        </w:tc>
      </w:tr>
    </w:tbl>
    <w:p>
      <w:pPr>
        <w:pStyle w:val="Titre2"/>
      </w:pPr>
      <w:r>
        <w:t xml:space="preserve">4.2 v1 grid future SSP585 / 2050 hazard — province summary</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4.2 — Top 15 provinces by mean SSP585 / 2050 hazard score under the v1 100 km grid model. Northeast (Heilongjiang, Jilin, Liaoning) and NW corridor (Ningxia, Shanxi, Gansu) dominate; the Hengduan range (Sichuan, Yunnan, Tibet) is NOT in the top 5, contradicting the earlier v2 manuscript narrative. This conclusion has been corrected in manuscript_v2.Rmd §3.10 / §4.4.</w:t>
      </w:r>
    </w:p>
    <w:tbl xmlns:a="http://schemas.openxmlformats.org/drawingml/2006/main" xmlns:pic="http://schemas.openxmlformats.org/drawingml/2006/picture">
      <w:tblPr>
        <w:tblLayout w:type="fixed"/>
        <w:jc w:val="center"/>
        <w:tblLook w:firstRow="1" w:lastRow="0" w:firstColumn="0" w:lastColumn="0" w:noHBand="0" w:noVBand="1"/>
      </w:tblPr>
      <w:tblGrid>
        <w:gridCol w:w="1866"/>
        <w:gridCol w:w="1695"/>
        <w:gridCol w:w="1560"/>
        <w:gridCol w:w="1071"/>
      </w:tblGrid>
      <w:tr>
        <w:trPr>
          <w:trHeight w:val="618"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province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Mean hazard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Max hazard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n grids</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Heilongjiang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0.0679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0.1926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44</w:t>
            </w:r>
          </w:p>
        </w:tc>
      </w:tr>
      <w:tr>
        <w:trPr>
          <w:trHeight w:val="573"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Jilin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0.0549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0.2269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19</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Liaoning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0.1747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14</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Ningxia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0.0619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6</w:t>
            </w:r>
          </w:p>
        </w:tc>
      </w:tr>
      <w:tr>
        <w:trPr>
          <w:trHeight w:val="57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Shanxi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0.1200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16</w:t>
            </w:r>
          </w:p>
        </w:tc>
      </w:tr>
      <w:tr>
        <w:trPr>
          <w:trHeight w:val="57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Gansu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0.0391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0.2038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41</w:t>
            </w:r>
          </w:p>
        </w:tc>
      </w:tr>
      <w:tr>
        <w:trPr>
          <w:trHeight w:val="573"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Hebei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0.1490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16</w:t>
            </w:r>
          </w:p>
        </w:tc>
      </w:tr>
      <w:tr>
        <w:trPr>
          <w:trHeight w:val="573"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Tibet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0.1626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117</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Inner Mongolia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0.1034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120</w:t>
            </w:r>
          </w:p>
        </w:tc>
      </w:tr>
      <w:tr>
        <w:trPr>
          <w:trHeight w:val="621"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Qinghai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0.1375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68</w:t>
            </w:r>
          </w:p>
        </w:tc>
      </w:tr>
      <w:tr>
        <w:trPr>
          <w:trHeight w:val="577"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Shaanxi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17</w:t>
            </w:r>
          </w:p>
        </w:tc>
      </w:tr>
      <w:tr>
        <w:trPr>
          <w:trHeight w:val="617"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Beijing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w:t>
            </w:r>
          </w:p>
        </w:tc>
      </w:tr>
      <w:tr>
        <w:trPr>
          <w:trHeight w:val="577"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Sichuan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49</w:t>
            </w:r>
          </w:p>
        </w:tc>
      </w:tr>
      <w:tr>
        <w:trPr>
          <w:trHeight w:val="621"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Shanghai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w:t>
            </w:r>
          </w:p>
        </w:tc>
      </w:tr>
      <w:tr>
        <w:trPr>
          <w:trHeight w:val="572" w:hRule="auto"/>
        </w:trPr>
        body15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Anhui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0.0092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0.0197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14</w:t>
            </w:r>
          </w:p>
        </w:tc>
      </w:tr>
    </w:tbl>
    <w:p>
      <w:pPr>
        <w:pStyle w:val="Titre1"/>
      </w:pPr>
      <w:r>
        <w:t xml:space="preserve">5  Data integrity audit — risk set, climate, effort</w:t>
      </w:r>
    </w:p>
    <w:p>
      <w:pPr>
        <w:pStyle w:val="Titre2"/>
      </w:pPr>
      <w:r>
        <w:t xml:space="preserve">5.1 Province scale — PASS</w:t>
      </w:r>
    </w:p>
    <w:p>
      <w:pPr>
        <w:pStyle w:val="Normal"/>
      </w:pPr>
      <w:r>
        <w:t xml:space="preserve">Risk set, climate covariates (temp_grad_z, climate_velocity_z, mahalanobis_dist_z), and effort covariates (log_effort_visits_z and 3 alternatives) all come from v1's hazard_risk_upgraded_complete_case.csv, which is documented and reproducible via v1's scripts 01–05. v2 refits use the same CSV; the SDM threshold filter (potential==1 &amp; historical_presence==0) is the upstream gate. No silent fallback discovered at province scale.</w:t>
      </w:r>
    </w:p>
    <w:p>
      <w:pPr>
        <w:pStyle w:val="Titre2"/>
      </w:pPr>
      <w:r>
        <w:t xml:space="preserve">5.2 Grid scale — v1 artefact identified; v2 fix written but not executed</w:t>
      </w:r>
    </w:p>
    <w:p>
      <w:pPr>
        <w:pStyle w:val="Normal"/>
      </w:pPr>
      <w:r>
        <w:t xml:space="preserve">v1 grid 100 km effort (data/grid_100km_effort.csv) shows ZERO within-province variation in log_effort_visits_z, log_effort_days_z, effort_pc1_z (e.g., Anhui 2002 has 9 grid cells, all carrying log_effort_visits_z = −1.002). The province-level z-scores were simply broadcast to every cell. The same holds for climate: climate_velocity_z, temp_anom_z and Mahalanobis distance in grid_100km_risk_set.csv are also province × year values copied across cells.</w:t>
      </w:r>
    </w:p>
    <w:p>
      <w:pPr>
        <w:pStyle w:val="Normal"/>
      </w:pPr>
      <w:r>
        <w:t xml:space="preserve">Consequence: v1's grid-scale models cannot be interpreted ecologically; the 'log_effort_visits_z main effect HR = 0.337' and 'climate × effort interaction HR = 0.654 (highly significant)' are statistical artefacts of having identical covariate values for groups of cells within each province × year. The negative directions of the v1 grid coefficients are particularly suspicious.</w:t>
      </w:r>
    </w:p>
    <w:p>
      <w:pPr>
        <w:pStyle w:val="Normal"/>
      </w:pPr>
      <w:r>
        <w:t xml:space="preserve">v2 fix path: code/28_grid_native_climate.R recomputes climate on each grid cell from WorldClim 2.1 10' rasters; code/28b_grid_native_effort.R rebuilds effort from coordinate-level events and the community-dynamics Combined panel (which has true grid-level variation); code/33 redefines the (species × grid) cartesian within SDM-candidate provinces only. These scripts are in the repository but the grid refit has not yet been executed (the 5–6 GB risk set plus glmmTMB on 3M+ rows triggered OOM during the local run). Streaming refactor or down-sampling is the next step.</w:t>
      </w:r>
    </w:p>
    <w:p>
      <w:pPr>
        <w:pStyle w:val="ImageCaption"/>
      </w:pPr>
      <w:r>
        <w:t xml:space="preserve">Figure 5.1 — Within-province standard deviation of log(n_events) plotted against province mean, derived from the community-dynamics Combined effort panel. If v1's broadcast were correct, every point should lie on SD = 0. Observed SD &gt; 0 confirms that genuine within-province variation exists in the Combined panel and v1's broadcast destroyed it.</w:t>
      </w:r>
    </w:p>
    <w:p>
      <w:pPr>
        <w:pStyle w:val="Titre2"/>
      </w:pPr>
      <w:r>
        <w:t xml:space="preserve">5.3 Hardened silent fallbacks (v2)</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5.1 — Silent-fallback hardening. Both scripts now refuse to produce surrogate output unless the user explicitly opts in via an environment variable.</w:t>
      </w:r>
    </w:p>
    <w:tbl xmlns:a="http://schemas.openxmlformats.org/drawingml/2006/main" xmlns:pic="http://schemas.openxmlformats.org/drawingml/2006/picture">
      <w:tblPr>
        <w:tblLayout w:type="fixed"/>
        <w:jc w:val="center"/>
        <w:tblLook w:firstRow="1" w:lastRow="0" w:firstColumn="0" w:lastColumn="0" w:noHBand="0" w:noVBand="1"/>
      </w:tblPr>
      <w:tblGrid>
        <w:gridCol w:w="4275"/>
        <w:gridCol w:w="11854"/>
        <w:gridCol w:w="8475"/>
      </w:tblGrid>
      <w:tr>
        <w:trPr>
          <w:trHeight w:val="61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Script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v1 / pre-fix behaviour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v2 / post-fix behaviour</w:t>
            </w:r>
          </w:p>
        </w:tc>
      </w:tr>
      <w:tr>
        <w:trPr>
          <w:trHeight w:val="621"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code/28_grid_native_climate.R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If CHELSA / WorldClim missing → warn, broadcast province climate to grid, mark fallback = TRUE in output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HARD STOP unless V2_ALLOW_CLIMATE_FALLBACK=1 is exported by the user</w:t>
            </w:r>
          </w:p>
        </w:tc>
      </w:tr>
      <w:tr>
        <w:trPr>
          <w:trHeight w:val="621"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code/29_cmip6_ensemble_prediction.R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If CMIP6 NetCDF missing → warn, apply hard-coded eps perturbation table per GCM, write rows with fallback = TRUE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HARD STOP unless V2_ALLOW_CMIP6_FALLBACK=1 is exported by the user</w:t>
            </w:r>
          </w:p>
        </w:tc>
      </w:tr>
    </w:tbl>
    <w:p>
      <w:pPr>
        <w:pStyle w:val="Titre1"/>
      </w:pPr>
      <w:r>
        <w:t xml:space="preserve">6  Model construction audit</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6.1 — Model ladder. Discrete-time complementary-log-log hazard with crossed species × province random effects; year_c (= year − 2013) is included where multi-year prediction is needed. v2 uses identical formulas; M5 in v2 was refit with raw-scale offset (script 32) and confirmed inferior to M3/M4.</w:t>
      </w:r>
    </w:p>
    <w:tbl xmlns:a="http://schemas.openxmlformats.org/drawingml/2006/main" xmlns:pic="http://schemas.openxmlformats.org/drawingml/2006/picture">
      <w:tblPr>
        <w:tblLayout w:type="fixed"/>
        <w:jc w:val="center"/>
        <w:tblLook w:firstRow="1" w:lastRow="0" w:firstColumn="0" w:lastColumn="0" w:noHBand="0" w:noVBand="1"/>
      </w:tblPr>
      <w:tblGrid>
        <w:gridCol w:w="1010"/>
        <w:gridCol w:w="8296"/>
        <w:gridCol w:w="2738"/>
        <w:gridCol w:w="5687"/>
      </w:tblGrid>
      <w:tr>
        <w:trPr>
          <w:trHeight w:val="616"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Formula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Family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Notes</w:t>
            </w:r>
          </w:p>
        </w:tc>
      </w:tr>
      <w:tr>
        <w:trPr>
          <w:trHeight w:val="62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event ~ 1                + (1|species) + (1|province)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binomial(link = 'cloglog')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Null</w:t>
            </w:r>
          </w:p>
        </w:tc>
      </w:tr>
      <w:tr>
        <w:trPr>
          <w:trHeight w:val="62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event ~ effort_z          + (1|species) + (1|province)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binomial(link = 'cloglog')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Effort only</w:t>
            </w:r>
          </w:p>
        </w:tc>
      </w:tr>
      <w:tr>
        <w:trPr>
          <w:trHeight w:val="62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event ~ climate_z         + (1|species) + (1|province)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binomial(link = 'cloglog')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Climate only</w:t>
            </w:r>
          </w:p>
        </w:tc>
      </w:tr>
      <w:tr>
        <w:trPr>
          <w:trHeight w:val="62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event ~ climate_z+effort_z+ (1|species) + (1|province)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binomial(link = 'cloglog')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Additive</w:t>
            </w:r>
          </w:p>
        </w:tc>
      </w:tr>
      <w:tr>
        <w:trPr>
          <w:trHeight w:val="62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event ~ climate_z*effort_z+ (1|species) + (1|province)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binomial(link = 'cloglog')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INTERACTION (headline)</w:t>
            </w:r>
          </w:p>
        </w:tc>
      </w:tr>
      <w:tr>
        <w:trPr>
          <w:trHeight w:val="62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event ~ climate_z         + (1|species) + (1|province) + offset(log_person_hours+1)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binomial(link = 'cloglog')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Effort as raw-scale offset (rejected by data: ΔAIC +86)</w:t>
            </w:r>
          </w:p>
        </w:tc>
      </w:tr>
    </w:tbl>
    <w:p>
      <w:pPr>
        <w:pStyle w:val="Normal"/>
      </w:pPr>
      <w:r>
        <w:t xml:space="preserve">Inferential validity. All 20 fits at province scale (4 effort specs × 5 models) converged (sdr$pdHess = TRUE). M4 vs M3 ΔAIC ranges 13.1–29.0; M4 vs M0 ΔAIC ranges 13.1–26.1; Akaike weights for M4 vs M3 are &gt; 0.999 in every spec. No convergence warnings.</w:t>
      </w:r>
    </w:p>
    <w:p>
      <w:pPr>
        <w:pStyle w:val="Titre1"/>
      </w:pPr>
      <w:r>
        <w:t xml:space="preserve">7  Issue ledger (by severity)</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7.1 — Full issue ledger. Critical issues all fixed in manuscript_v2.Rmd or the corresponding code/*.R; HIGH issues are pending the grid + admin scale refit.</w:t>
      </w:r>
    </w:p>
    <w:tbl xmlns:a="http://schemas.openxmlformats.org/drawingml/2006/main" xmlns:pic="http://schemas.openxmlformats.org/drawingml/2006/picture">
      <w:tblPr>
        <w:tblLayout w:type="fixed"/>
        <w:jc w:val="center"/>
        <w:tblLook w:firstRow="1" w:lastRow="0" w:firstColumn="0" w:lastColumn="0" w:noHBand="0" w:noVBand="1"/>
      </w:tblPr>
      <w:tblGrid>
        <w:gridCol w:w="1413"/>
        <w:gridCol w:w="15661"/>
        <w:gridCol w:w="4819"/>
      </w:tblGrid>
      <w:tr>
        <w:trPr>
          <w:trHeight w:val="62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Severity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Issue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Status</w:t>
            </w:r>
          </w:p>
        </w:tc>
      </w:tr>
      <w:tr>
        <w:trPr>
          <w:trHeight w:val="621"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CRITICAL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manuscript_v2 80.4 % attribution to 'conditional R²' was wrong basis — actual basis is M4 MARGINAL R² (≈ 0.04), share 80.5 %</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FIXED in manuscript_v2.Rmd</w:t>
            </w:r>
          </w:p>
        </w:tc>
      </w:tr>
      <w:tr>
        <w:trPr>
          <w:trHeight w:val="621"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CRITICAL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Hengduan Mountains as 2050 SSP585 hot-spot contradicts v1 grid future hazard table — true top provinces are Heilongjiang, Jilin, Liaoning, Ningxia, Shanxi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FIXED in manuscript_v2.Rmd</w:t>
            </w:r>
          </w:p>
        </w:tc>
      </w:tr>
      <w:tr>
        <w:trPr>
          <w:trHeight w:val="61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CRITICAL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v1 grid 100 km M2/M3/M4 'highly significant negative interaction' is an artefact of province-mirror effort and climate, not a true ecological signal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Documented in §4.1 + manuscript Limitations</w:t>
            </w:r>
          </w:p>
        </w:tc>
      </w:tr>
      <w:tr>
        <w:trPr>
          <w:trHeight w:val="621"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CRITICAL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v2 CMIP6 ensemble script could silently fabricate output using hard-coded perturbation constants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FIXED in code/29 (hard fail)</w:t>
            </w:r>
          </w:p>
        </w:tc>
      </w:tr>
      <w:tr>
        <w:trPr>
          <w:trHeight w:val="61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CRITICAL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v2 grid climate script could silently fall back to province-mean climate without stopping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FIXED in code/28 (hard fail)</w:t>
            </w:r>
          </w:p>
        </w:tc>
      </w:tr>
      <w:tr>
        <w:trPr>
          <w:trHeight w:val="62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v1 50 km grid model never actually fitted (no rows in table_grid_model_comparison.csv) → manuscript multi-scale claim partly aspirational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Documented; deferred to next iteration</w:t>
            </w:r>
          </w:p>
        </w:tc>
      </w:tr>
      <w:tr>
        <w:trPr>
          <w:trHeight w:val="621"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Community-dynamics 100 km grid (1,308 cells) and v1 100 km grid (942 cells) have incompatible cell boundaries → no automatic reconciliation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Documented</w:t>
            </w:r>
          </w:p>
        </w:tc>
      </w:tr>
      <w:tr>
        <w:trPr>
          <w:trHeight w:val="62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v2 results/tables remained empty for prefecture / county / 50 km grid / 100 km grid (only province + diagnostics persisted)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Pending refit</w:t>
            </w:r>
          </w:p>
        </w:tc>
      </w:tr>
      <w:tr>
        <w:trPr>
          <w:trHeight w:val="62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Spatial-block CV AUC = 0.66 ± 0.04 not backed by a persisted table (manuscript claim placeholder)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Pending</w:t>
            </w:r>
          </w:p>
        </w:tc>
      </w:tr>
      <w:tr>
        <w:trPr>
          <w:trHeight w:val="621"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OLR-augmented M4 coefficient stability claim has no persisted v2 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Pending</w:t>
            </w:r>
          </w:p>
        </w:tc>
      </w:tr>
      <w:tr>
        <w:trPr>
          <w:trHeight w:val="62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Variable name mismatch v1 vs v2 (log_effort_visits_z vs log_n_events_z) means cross-version coefficient comparison must rename first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Documented</w:t>
            </w:r>
          </w:p>
        </w:tc>
      </w:tr>
      <w:tr>
        <w:trPr>
          <w:trHeight w:val="62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Effort z-score scope differs between scripts 28b (global) and 40 (within-year) — same column name in code, different semantics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Documented</w:t>
            </w:r>
          </w:p>
        </w:tc>
      </w:tr>
      <w:tr>
        <w:trPr>
          <w:trHeight w:val="619"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temp_grad × effort is the only consistently strong positive interaction; other climate × effort combinations weaker or reverse-signed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Documented in Discussion</w:t>
            </w:r>
          </w:p>
        </w:tc>
      </w:tr>
      <w:tr>
        <w:trPr>
          <w:trHeight w:val="621"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MEDIUM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OLR ΔAIC = 1857 reveals large un-modelled heterogeneity (habitat, biotic, observer network)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Documented</w:t>
            </w:r>
          </w:p>
        </w:tc>
      </w:tr>
      <w:tr>
        <w:trPr>
          <w:trHeight w:val="619"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Hard-coded macOS paths in code/40 (fixed to env vars in v2 refit)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FIXED in code/40</w:t>
            </w:r>
          </w:p>
        </w:tc>
      </w:tr>
      <w:tr>
        <w:trPr>
          <w:trHeight w:val="621"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code/37 selfcheck originally asserted M3 AIC = 4193.8 (which is actually the M4 AIC) — fixed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FIXED in code/37</w:t>
            </w:r>
          </w:p>
        </w:tc>
      </w:tr>
      <w:tr>
        <w:trPr>
          <w:trHeight w:val="619" w:hRule="auto"/>
        </w:trPr>
        body17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LOW</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v2 50 km grid is documented but not executed in any of code/40/40b/40c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Documented in manuscript</w:t>
            </w:r>
          </w:p>
        </w:tc>
      </w:tr>
    </w:tbl>
    <w:p>
      <w:pPr>
        <w:pStyle w:val="Titre1"/>
      </w:pPr>
      <w:r>
        <w:t xml:space="preserve">8  Province-scale results — confirmation</w:t>
      </w:r>
    </w:p>
    <w:p>
      <w:pPr>
        <w:pStyle w:val="Normal"/>
      </w:pPr>
      <w:r>
        <w:t xml:space="preserve">This is the manuscript's headline finding. v2 independently refit and confirms v1 to within numerical noise (max |Δ HR| 0.008).</w:t>
      </w:r>
    </w:p>
    <w:p>
      <w:pPr>
        <w:pStyle w:val="Titre3"/>
      </w:pPr>
      <w:r>
        <w:t xml:space="preserve">8.1 What is supported by the data</w:t>
      </w:r>
    </w:p>
    <w:p>
      <w:pPr>
        <w:pStyle w:val="Normal"/>
      </w:pPr>
      <w:r>
        <w:t xml:space="preserve">1. The climate × effort interaction is positive and significant for all four effort specifications (HR 1.18–1.31, p &lt; 10⁻⁴).</w:t>
      </w:r>
    </w:p>
    <w:p>
      <w:pPr>
        <w:pStyle w:val="Normal"/>
      </w:pPr>
      <w:r>
        <w:t xml:space="preserve">2. M4 is the lowest-AIC model for all four specifications (ΔAIC vs M3 ranges 13–29).</w:t>
      </w:r>
    </w:p>
    <w:p>
      <w:pPr>
        <w:pStyle w:val="Normal"/>
      </w:pPr>
      <w:r>
        <w:t xml:space="preserve">3. The interaction explains 78–84 % of the marginal R² of M4 (across the four specifications).</w:t>
      </w:r>
    </w:p>
    <w:p>
      <w:pPr>
        <w:pStyle w:val="Normal"/>
      </w:pPr>
      <w:r>
        <w:t xml:space="preserve">4. Result holds across three time-window subsets (2002–2024, 2005–2024, 2010–2024) and three migratory-strategy subsets (Resident HR 1.434; Partial 1.272; Long-distance 1.267).</w:t>
      </w:r>
    </w:p>
    <w:p>
      <w:pPr>
        <w:pStyle w:val="Normal"/>
      </w:pPr>
      <w:r>
        <w:t xml:space="preserve">5. Effort treated as an offset is rejected by ΔAIC +86 — effort is a moderator, not a scaling factor.</w:t>
      </w:r>
    </w:p>
    <w:p>
      <w:pPr>
        <w:pStyle w:val="Normal"/>
      </w:pPr>
      <w:r>
        <w:t xml:space="preserve">6. M4 residual Moran's I at 50/100/250/500 km is ≈ 0 (p &gt; 0.85) — province-scale conclusion is not driven by un-modelled spatial autocorrelation.</w:t>
      </w:r>
    </w:p>
    <w:p>
      <w:pPr>
        <w:pStyle w:val="Titre3"/>
      </w:pPr>
      <w:r>
        <w:t xml:space="preserve">8.2 What is NOT supported by the data</w:t>
      </w:r>
    </w:p>
    <w:p>
      <w:pPr>
        <w:pStyle w:val="Normal"/>
      </w:pPr>
      <w:r>
        <w:t xml:space="preserve">a. The Hengduan Mountains being the future SSP585 / 2050 hot-spot — v1 grid hazard prediction places the top hot-spots in Northeast and NW China.</w:t>
      </w:r>
    </w:p>
    <w:p>
      <w:pPr>
        <w:pStyle w:val="Normal"/>
      </w:pPr>
      <w:r>
        <w:t xml:space="preserve">b. Grid-scale 'sign flip' (HR &lt; 1) in the climate × effort interaction — interpretable only after grid-native climate + effort refit (scripts 28, 28b, 33 → 40).</w:t>
      </w:r>
    </w:p>
    <w:p>
      <w:pPr>
        <w:pStyle w:val="Normal"/>
      </w:pPr>
      <w:r>
        <w:t xml:space="preserve">c. Forecast-skill decay numbers (manuscript draft 0.69→0.61) and 250 km spatial-block CV AUC (0.66±0.04) — these are placeholders pending re-execution of scripts 26 and 30 on the updated risk set.</w:t>
      </w:r>
    </w:p>
    <w:p>
      <w:pPr>
        <w:pStyle w:val="Titre1"/>
      </w:pPr>
      <w:r>
        <w:t xml:space="preserve">9  Recommendations and next steps</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9.1 — Recommended next steps.</w:t>
      </w:r>
    </w:p>
    <w:tbl xmlns:a="http://schemas.openxmlformats.org/drawingml/2006/main" xmlns:pic="http://schemas.openxmlformats.org/drawingml/2006/picture">
      <w:tblPr>
        <w:tblLayout w:type="fixed"/>
        <w:jc w:val="center"/>
        <w:tblLook w:firstRow="1" w:lastRow="0" w:firstColumn="0" w:lastColumn="0" w:noHBand="0" w:noVBand="1"/>
      </w:tblPr>
      <w:tblGrid>
        <w:gridCol w:w="3015"/>
        <w:gridCol w:w="15341"/>
      </w:tblGrid>
      <w:tr>
        <w:trPr>
          <w:trHeight w:val="616"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Priority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w:rPr>
                <w:rFonts w:ascii="Helvetica" w:hAnsi="Helvetica" w:eastAsia="Helvetica" w:cs="Helvetica"/>
                <w:i w:val="false"/>
                <w:b w:val="true"/>
                <w:u w:val="none"/>
                <w:strike w:val="false"/>
                <w:sz w:val="18"/>
                <w:szCs w:val="18"/>
                <w:color w:val="000000"/>
              </w:rPr>
              <w:t xml:space="preserve">Action</w:t>
            </w:r>
          </w:p>
        </w:tc>
      </w:tr>
      <w:tr>
        <w:trPr>
          <w:trHeight w:val="62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Now (manuscript-blocking)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manuscript_v2.Rmd §3.10 / §4.4 already updated; double-check abstract and conclusion sections reflect Northeast hot-spot conclusion</w:t>
            </w:r>
          </w:p>
        </w:tc>
      </w:tr>
      <w:tr>
        <w:trPr>
          <w:trHeight w:val="621"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Now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Lock the v2 GitHub repo to a tag (e.g. v2.1.0) once the report is signed off; cite the DOI alongside v1</w:t>
            </w:r>
          </w:p>
        </w:tc>
      </w:tr>
      <w:tr>
        <w:trPr>
          <w:trHeight w:val="62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Next (this week)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Re-run grid 100 km hazard model with grid-native climate (script 28) and grid-native effort (script 28b) on a memory-safe down-sampled risk set</w:t>
            </w:r>
          </w:p>
        </w:tc>
      </w:tr>
      <w:tr>
        <w:trPr>
          <w:trHeight w:val="621"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Next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Build prefecture / county / 50 km grid risk sets with the same SDM-threshold logic and a streaming join (avoid the OOM in 40b)</w:t>
            </w:r>
          </w:p>
        </w:tc>
      </w:tr>
      <w:tr>
        <w:trPr>
          <w:trHeight w:val="619"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Subsequent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Run XGBoost + Random Forest variable importance + variance decomposition at all five scales to back the multi-scale manuscript claim</w:t>
            </w:r>
          </w:p>
        </w:tc>
      </w:tr>
      <w:tr>
        <w:trPr>
          <w:trHeight w:val="621"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Subsequent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w:rPr>
                <w:rFonts w:ascii="Helvetica" w:hAnsi="Helvetica" w:eastAsia="Helvetica" w:cs="Helvetica"/>
                <w:i w:val="false"/>
                <w:b w:val="false"/>
                <w:u w:val="none"/>
                <w:strike w:val="false"/>
                <w:sz w:val="18"/>
                <w:szCs w:val="18"/>
                <w:color w:val="000000"/>
              </w:rPr>
              <w:t xml:space="preserve">Generate future-scenario hazard maps (glmmTMB + XGBoost) at all five scales under SSP245/SSP585 × 2050/2080 once CMIP6 NetCDFs are available</w:t>
            </w:r>
          </w:p>
        </w:tc>
      </w:tr>
    </w:tbl>
    <w:p>
      <w:pPr>
        <w:pStyle w:val="Normal"/>
      </w:pPr>
      <w:r>
        <w:rPr/>
        <w:drawing>
          <wp:inline distT="0" distB="0" distL="0" distR="0">
            <wp:extent cx="5120640" cy="329184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120640" cy="3291840"/>
                    </a:xfrm>
                    <a:prstGeom prst="rect">
                      <a:avLst/>
                    </a:prstGeom>
                    <a:noFill/>
                  </pic:spPr>
                </pic:pic>
              </a:graphicData>
            </a:graphic>
          </wp:inline>
        </w:drawing>
      </w:r>
    </w:p>
    <w:p>
      <w:pPr>
        <w:pStyle w:val="Normal"/>
      </w:pPr>
      <w:r>
        <w:rPr/>
        <w:drawing>
          <wp:inline distT="0" distB="0" distL="0" distR="0">
            <wp:extent cx="6035040" cy="347472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6035040" cy="3474720"/>
                    </a:xfrm>
                    <a:prstGeom prst="rect">
                      <a:avLst/>
                    </a:prstGeom>
                    <a:noFill/>
                  </pic:spPr>
                </pic:pic>
              </a:graphicData>
            </a:graphic>
          </wp:inline>
        </w:drawing>
      </w:r>
    </w:p>
    <w:p>
      <w:pPr>
        <w:pStyle w:val="Normal"/>
      </w:pPr>
      <w:r>
        <w:rPr/>
        <w:drawing>
          <wp:inline distT="0" distB="0" distL="0" distR="0">
            <wp:extent cx="6217920" cy="41148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6217920" cy="4114800"/>
                    </a:xfrm>
                    <a:prstGeom prst="rect">
                      <a:avLst/>
                    </a:prstGeom>
                    <a:noFill/>
                  </pic:spPr>
                </pic:pic>
              </a:graphicData>
            </a:graphic>
          </wp:inline>
        </w:drawing>
      </w:r>
    </w:p>
    <w:p>
      <w:pPr>
        <w:pStyle w:val="Normal"/>
      </w:pPr>
      <w:r>
        <w:rPr/>
        <w:drawing>
          <wp:inline distT="0" distB="0" distL="0" distR="0">
            <wp:extent cx="6217920" cy="41148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6217920" cy="4114800"/>
                    </a:xfrm>
                    <a:prstGeom prst="rect">
                      <a:avLst/>
                    </a:prstGeom>
                    <a:noFill/>
                  </pic:spPr>
                </pic:pic>
              </a:graphicData>
            </a:graphic>
          </wp:inline>
        </w:drawing>
      </w:r>
    </w:p>
    <w:p>
      <w:pPr>
        <w:pStyle w:val="Normal"/>
      </w:pPr>
      <w:r>
        <w:rPr/>
        <w:drawing>
          <wp:inline distT="0" distB="0" distL="0" distR="0">
            <wp:extent cx="5852160" cy="402336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852160" cy="4023360"/>
                    </a:xfrm>
                    <a:prstGeom prst="rect">
                      <a:avLst/>
                    </a:prstGeom>
                    <a:noFill/>
                  </pic:spPr>
                </pic:pic>
              </a:graphicData>
            </a:graphic>
          </wp:inline>
        </w:drawing>
      </w:r>
    </w:p>
    <w:p>
      <w:pPr>
        <w:pStyle w:val="Normal"/>
      </w:pPr>
      <w:r>
        <w:rPr/>
        <w:drawing>
          <wp:inline distT="0" distB="0" distL="0" distR="0">
            <wp:extent cx="5486400" cy="393192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486400" cy="3931920"/>
                    </a:xfrm>
                    <a:prstGeom prst="rect">
                      <a:avLst/>
                    </a:prstGeom>
                    <a:noFill/>
                  </pic:spPr>
                </pic:pic>
              </a:graphicData>
            </a:graphic>
          </wp:inline>
        </w:drawing>
      </w:r>
    </w:p>
    <w:p>
      <w:pPr>
        <w:pStyle w:val="Normal"/>
      </w:pPr>
      <w:r>
        <w:rPr/>
        <w:drawing>
          <wp:inline distT="0" distB="0" distL="0" distR="0">
            <wp:extent cx="5852160" cy="3291840"/>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5852160" cy="3291840"/>
                    </a:xfrm>
                    <a:prstGeom prst="rect">
                      <a:avLst/>
                    </a:prstGeom>
                    <a:noFill/>
                  </pic:spPr>
                </pic:pic>
              </a:graphicData>
            </a:graphic>
          </wp:inline>
        </w:drawing>
      </w:r>
    </w:p>
    <w:p>
      <w:pPr>
        <w:pStyle w:val="Normal"/>
      </w:pPr>
      <w:r>
        <w:rPr/>
        <w:drawing>
          <wp:inline distT="0" distB="0" distL="0" distR="0">
            <wp:extent cx="5486400" cy="347472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5486400" cy="3474720"/>
                    </a:xfrm>
                    <a:prstGeom prst="rect">
                      <a:avLst/>
                    </a:prstGeom>
                    <a:noFill/>
                  </pic:spPr>
                </pic:pic>
              </a:graphicData>
            </a:graphic>
          </wp:inline>
        </w:drawing>
      </w:r>
    </w:p>
    <w:p>
      <w:pPr>
        <w:pStyle w:val="Normal"/>
      </w:pPr>
      <w:r>
        <w:rPr/>
        <w:drawing>
          <wp:inline distT="0" distB="0" distL="0" distR="0">
            <wp:extent cx="6035040" cy="3291840"/>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5"/>
                    <a:stretch>
                      <a:fillRect/>
                    </a:stretch>
                  </pic:blipFill>
                  <pic:spPr bwMode="auto">
                    <a:xfrm>
                      <a:off x="0" y="0"/>
                      <a:ext cx="6035040" cy="3291840"/>
                    </a:xfrm>
                    <a:prstGeom prst="rect">
                      <a:avLst/>
                    </a:prstGeom>
                    <a:noFill/>
                  </pic:spPr>
                </pic:pic>
              </a:graphicData>
            </a:graphic>
          </wp:inline>
        </w:drawing>
      </w:r>
    </w:p>
    <w:p>
      <w:pPr>
        <w:pStyle w:val="Normal"/>
      </w:pPr>
      <w:r>
        <w:rPr/>
        <w:drawing>
          <wp:inline distT="0" distB="0" distL="0" distR="0">
            <wp:extent cx="5852160" cy="3474720"/>
            <wp:docPr id="1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16"/>
                    <a:stretch>
                      <a:fillRect/>
                    </a:stretch>
                  </pic:blipFill>
                  <pic:spPr bwMode="auto">
                    <a:xfrm>
                      <a:off x="0" y="0"/>
                      <a:ext cx="5852160" cy="3474720"/>
                    </a:xfrm>
                    <a:prstGeom prst="rect">
                      <a:avLst/>
                    </a:prstGeom>
                    <a:noFill/>
                  </pic:spPr>
                </pic:pic>
              </a:graphicData>
            </a:graphic>
          </wp:inline>
        </w:drawing>
      </w:r>
    </w:p>
    <w:p>
      <w:pPr>
        <w:pStyle w:val="Normal"/>
      </w:pPr>
      <w:r>
        <w:rPr/>
        <w:drawing>
          <wp:inline distT="0" distB="0" distL="0" distR="0">
            <wp:extent cx="5852160" cy="3474720"/>
            <wp:docPr id="2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17"/>
                    <a:stretch>
                      <a:fillRect/>
                    </a:stretch>
                  </pic:blipFill>
                  <pic:spPr bwMode="auto">
                    <a:xfrm>
                      <a:off x="0" y="0"/>
                      <a:ext cx="5852160" cy="3474720"/>
                    </a:xfrm>
                    <a:prstGeom prst="rect">
                      <a:avLst/>
                    </a:prstGeom>
                    <a:noFill/>
                  </pic:spPr>
                </pic:pic>
              </a:graphicData>
            </a:graphic>
          </wp:inline>
        </w:drawing>
      </w:r>
    </w:p>
    <w:p>
      <w:pPr>
        <w:pStyle w:val="Normal"/>
      </w:pPr>
      <w:r>
        <w:rPr/>
        <w:drawing>
          <wp:inline distT="0" distB="0" distL="0" distR="0">
            <wp:extent cx="5120640" cy="3291840"/>
            <wp:docPr id="2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18"/>
                    <a:stretch>
                      <a:fillRect/>
                    </a:stretch>
                  </pic:blipFill>
                  <pic:spPr bwMode="auto">
                    <a:xfrm>
                      <a:off x="0" y="0"/>
                      <a:ext cx="5120640" cy="3291840"/>
                    </a:xfrm>
                    <a:prstGeom prst="rect">
                      <a:avLst/>
                    </a:prstGeom>
                    <a:noFill/>
                  </pic:spPr>
                </pic:pic>
              </a:graphicData>
            </a:graphic>
          </wp:inline>
        </w:drawing>
      </w:r>
    </w:p>
    <w:p>
      <w:pPr>
        <w:pStyle w:val="Normal"/>
      </w:pPr>
      <w:r>
        <w:rPr/>
        <w:drawing>
          <wp:inline distT="0" distB="0" distL="0" distR="0">
            <wp:extent cx="5486400" cy="3657600"/>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19"/>
                    <a:stretch>
                      <a:fillRect/>
                    </a:stretch>
                  </pic:blipFill>
                  <pic:spPr bwMode="auto">
                    <a:xfrm>
                      <a:off x="0" y="0"/>
                      <a:ext cx="5486400" cy="3657600"/>
                    </a:xfrm>
                    <a:prstGeom prst="rect">
                      <a:avLst/>
                    </a:prstGeom>
                    <a:noFill/>
                  </pic:spPr>
                </pic:pic>
              </a:graphicData>
            </a:graphic>
          </wp:inline>
        </w:drawing>
      </w:r>
    </w:p>
    <w:p>
      <w:pPr>
        <w:pStyle w:val="Normal"/>
      </w:pPr>
      <w:r>
        <w:rPr/>
        <w:drawing>
          <wp:inline distT="0" distB="0" distL="0" distR="0">
            <wp:extent cx="5486400" cy="3108960"/>
            <wp:docPr id="2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20"/>
                    <a:stretch>
                      <a:fillRect/>
                    </a:stretch>
                  </pic:blipFill>
                  <pic:spPr bwMode="auto">
                    <a:xfrm>
                      <a:off x="0" y="0"/>
                      <a:ext cx="5486400" cy="3108960"/>
                    </a:xfrm>
                    <a:prstGeom prst="rect">
                      <a:avLst/>
                    </a:prstGeom>
                    <a:noFill/>
                  </pic:spPr>
                </pic:pic>
              </a:graphicData>
            </a:graphic>
          </wp:inline>
        </w:drawing>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2785ea7e62378dca271a64c1ceff450889e1b25d.png"/>
<Relationship Id="rId8" Type="http://schemas.openxmlformats.org/officeDocument/2006/relationships/image" Target="media/b521466e59ba53054cc6e486bcc6ef4edaf6368e.png"/>
<Relationship Id="rId9" Type="http://schemas.openxmlformats.org/officeDocument/2006/relationships/image" Target="media/8cbc1820a3894b17738f0e046488dfc1873ef032.png"/>
<Relationship Id="rId10" Type="http://schemas.openxmlformats.org/officeDocument/2006/relationships/image" Target="media/0da296d28959a5f6a7c08c1791ee1e199ba1c8ba.png"/>
<Relationship Id="rId11" Type="http://schemas.openxmlformats.org/officeDocument/2006/relationships/image" Target="media/a61830229b8dc4925e40137b43a6eee670f89e92.png"/>
<Relationship Id="rId12" Type="http://schemas.openxmlformats.org/officeDocument/2006/relationships/image" Target="media/936ea39f6a16daefe9217d86b7bf9fec1329578d.png"/>
<Relationship Id="rId13" Type="http://schemas.openxmlformats.org/officeDocument/2006/relationships/image" Target="media/6191849b3fd5ef35626021dda4720eeac8c13d4c.png"/>
<Relationship Id="rId14" Type="http://schemas.openxmlformats.org/officeDocument/2006/relationships/image" Target="media/155098619fd775b2cf62f6e29b533cdef26dab75.png"/>
<Relationship Id="rId15" Type="http://schemas.openxmlformats.org/officeDocument/2006/relationships/image" Target="media/beb2076eaf157e3bf75834a8339cc07fad047438.png"/>
<Relationship Id="rId16" Type="http://schemas.openxmlformats.org/officeDocument/2006/relationships/image" Target="media/7fb1780b4feb3c4ecc1568e8398b74dad59242b4.png"/>
<Relationship Id="rId17" Type="http://schemas.openxmlformats.org/officeDocument/2006/relationships/image" Target="media/1f27b1d8a664722cc2779198f713cb9ab790d391.png"/>
<Relationship Id="rId18" Type="http://schemas.openxmlformats.org/officeDocument/2006/relationships/image" Target="media/60e8e9c88e72d29c0753305038ae5c0af22085a2.png"/>
<Relationship Id="rId19" Type="http://schemas.openxmlformats.org/officeDocument/2006/relationships/image" Target="media/fbccae484d2879ee18f5c1ef31f6eb0729e796ca.png"/>
<Relationship Id="rId20" Type="http://schemas.openxmlformats.org/officeDocument/2006/relationships/image" Target="media/e446a8bd8cba10d6405a6ccf3473e107f603996d.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dingchenchen</cp:lastModifiedBy>
  <cp:revision>9</cp:revision>
  <dcterms:created xsi:type="dcterms:W3CDTF">2017-02-28T11:18:00Z</dcterms:created>
  <dcterms:modified xsi:type="dcterms:W3CDTF">2026-05-23T06:49:22Z</dcterms:modified>
  <cp:category/>
</cp:coreProperties>
</file>