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732cd088e663900491583918cdf8fca26c5e5f1"/>
    <w:p>
      <w:pPr>
        <w:pStyle w:val="Heading1"/>
      </w:pPr>
      <w:r>
        <w:t xml:space="preserve">Survey effort moderates the climatic visibility of new species records</w:t>
      </w:r>
    </w:p>
    <w:p>
      <w:pPr>
        <w:pStyle w:val="FirstParagraph"/>
      </w:pPr>
      <w:r>
        <w:rPr>
          <w:i/>
          <w:iCs/>
        </w:rPr>
        <w:t xml:space="preserve">Formatted for</w:t>
      </w:r>
      <w:r>
        <w:t xml:space="preserve"> </w:t>
      </w:r>
      <w:r>
        <w:rPr>
          <w:b/>
          <w:bCs/>
        </w:rPr>
        <w:t xml:space="preserve">Nature Ecology &amp; Evolution</w:t>
      </w:r>
      <w:r>
        <w:t xml:space="preserve"> </w:t>
      </w:r>
      <w:r>
        <w:rPr>
          <w:i/>
          <w:iCs/>
        </w:rPr>
        <w:t xml:space="preserve">(Article)</w:t>
      </w:r>
    </w:p>
    <w:p>
      <w:pPr>
        <w:pStyle w:val="BodyText"/>
      </w:pPr>
      <w:r>
        <w:rPr>
          <w:b/>
          <w:bCs/>
        </w:rPr>
        <w:t xml:space="preserve">Chen-Chen Ding</w:t>
      </w:r>
      <w:r>
        <w:t xml:space="preserve">¹</w:t>
      </w:r>
    </w:p>
    <w:p>
      <w:pPr>
        <w:pStyle w:val="BodyText"/>
      </w:pPr>
      <w:r>
        <w:t xml:space="preserve">¹ Institute of Ecology, College of Urban and Environmental Sciences, Peking</w:t>
      </w:r>
      <w:r>
        <w:t xml:space="preserve"> </w:t>
      </w:r>
      <w:r>
        <w:t xml:space="preserve">University, Beijing 100871, China. e-mail:</w:t>
      </w:r>
      <w:r>
        <w:t xml:space="preserve"> </w:t>
      </w:r>
      <w:hyperlink r:id="rId9">
        <w:r>
          <w:rPr>
            <w:rStyle w:val="Hyperlink"/>
          </w:rPr>
          <w:t xml:space="preserve">chenchending1992@gmail.com</w:t>
        </w:r>
      </w:hyperlink>
    </w:p>
    <w:p>
      <w:r>
        <w:pict>
          <v:rect style="width:0;height:1.5pt" o:hralign="center" o:hrstd="t" o:hr="t"/>
        </w:pict>
      </w:r>
    </w:p>
    <w:bookmarkStart w:id="1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New species records are a primary currency of climate-change biogeography, yet a</w:t>
      </w:r>
      <w:r>
        <w:t xml:space="preserve"> </w:t>
      </w:r>
      <w:r>
        <w:t xml:space="preserve">record is created only when ecological exposure and human observation coincide.</w:t>
      </w:r>
      <w:r>
        <w:t xml:space="preserve"> </w:t>
      </w:r>
      <w:r>
        <w:t xml:space="preserve">Whether survey effort merely scales how many records appear, or actively conditions</w:t>
      </w:r>
      <w:r>
        <w:t xml:space="preserve"> </w:t>
      </w:r>
      <w:r>
        <w:t xml:space="preserve">whether climate-driven change becomes detectable, is untested. Using complete</w:t>
      </w:r>
      <w:r>
        <w:t xml:space="preserve"> </w:t>
      </w:r>
      <w:r>
        <w:t xml:space="preserve">discrete-time risk sets for 463 birds newly recorded across mainland China</w:t>
      </w:r>
      <w:r>
        <w:t xml:space="preserve"> </w:t>
      </w:r>
      <w:r>
        <w:t xml:space="preserve">(2002–2024; 188,870 species-by-province-by-year rows, 817 first records), we show</w:t>
      </w:r>
      <w:r>
        <w:t xml:space="preserve"> </w:t>
      </w:r>
      <w:r>
        <w:t xml:space="preserve">that climate exposure and effort combine multiplicatively. Their interaction is</w:t>
      </w:r>
      <w:r>
        <w:t xml:space="preserve"> </w:t>
      </w:r>
      <w:r>
        <w:t xml:space="preserve">positive and invariant across three species-distribution-model thresholds</w:t>
      </w:r>
      <w:r>
        <w:t xml:space="preserve"> </w:t>
      </w:r>
      <w:r>
        <w:t xml:space="preserve">(hazard ratio 1.274–1.290), and the interaction model outperforms both an additive</w:t>
      </w:r>
      <w:r>
        <w:t xml:space="preserve"> </w:t>
      </w:r>
      <w:r>
        <w:t xml:space="preserve">model and a raw-effort offset at every threshold — identifying effort as a</w:t>
      </w:r>
      <w:r>
        <w:t xml:space="preserve"> </w:t>
      </w:r>
      <w:r>
        <w:t xml:space="preserve">moderator rather than a scaling term. Partitioning explained deviance, effort</w:t>
      </w:r>
      <w:r>
        <w:t xml:space="preserve"> </w:t>
      </w:r>
      <w:r>
        <w:t xml:space="preserve">accounts for ~79 %, the interaction 12–30 % and climate alone under 6 %: climate</w:t>
      </w:r>
      <w:r>
        <w:t xml:space="preserve"> </w:t>
      </w:r>
      <w:r>
        <w:t xml:space="preserve">enters the record process chiefly</w:t>
      </w:r>
      <w:r>
        <w:t xml:space="preserve"> </w:t>
      </w:r>
      <w:r>
        <w:rPr>
          <w:i/>
          <w:iCs/>
        </w:rPr>
        <w:t xml:space="preserve">through</w:t>
      </w:r>
      <w:r>
        <w:t xml:space="preserve"> </w:t>
      </w:r>
      <w:r>
        <w:t xml:space="preserve">effort. The interaction is carried</w:t>
      </w:r>
      <w:r>
        <w:t xml:space="preserve"> </w:t>
      </w:r>
      <w:r>
        <w:t xml:space="preserve">specifically by thermal anomalies, is present in every migratory strategy and</w:t>
      </w:r>
      <w:r>
        <w:t xml:space="preserve"> </w:t>
      </w:r>
      <w:r>
        <w:t xml:space="preserve">strongest in long-distance migrants, and survives lagging effort by a year.</w:t>
      </w:r>
      <w:r>
        <w:t xml:space="preserve"> </w:t>
      </w:r>
      <w:r>
        <w:t xml:space="preserve">Mechanistic and machine-learning projections agree until covariates leave the</w:t>
      </w:r>
      <w:r>
        <w:t xml:space="preserve"> </w:t>
      </w:r>
      <w:r>
        <w:t xml:space="preserve">training domain and then diverge sharply, bounding credible forecasts near 2050.</w:t>
      </w:r>
      <w:r>
        <w:t xml:space="preserve"> </w:t>
      </w:r>
      <w:r>
        <w:t xml:space="preserve">New records are best read as effort-moderated visibility events.</w:t>
      </w:r>
    </w:p>
    <w:p>
      <w:r>
        <w:pict>
          <v:rect style="width:0;height:1.5pt" o:hralign="center" o:hrstd="t" o:hr="t"/>
        </w:pict>
      </w:r>
    </w:p>
    <w:bookmarkEnd w:id="10"/>
    <w:bookmarkStart w:id="21" w:name="main"/>
    <w:p>
      <w:pPr>
        <w:pStyle w:val="Heading2"/>
      </w:pPr>
      <w:r>
        <w:t xml:space="preserve">Main</w:t>
      </w:r>
    </w:p>
    <w:p>
      <w:pPr>
        <w:pStyle w:val="FirstParagraph"/>
      </w:pPr>
      <w:r>
        <w:t xml:space="preserve">The redistribution of life under climate change is among the most consequential</w:t>
      </w:r>
      <w:r>
        <w:t xml:space="preserve"> </w:t>
      </w:r>
      <w:r>
        <w:t xml:space="preserve">signals in ecology, and our knowledge of it is assembled overwhelmingly from</w:t>
      </w:r>
      <w:r>
        <w:t xml:space="preserve"> </w:t>
      </w:r>
      <w:r>
        <w:t xml:space="preserve">occurrence records — the documented appearance of a species where it had not been</w:t>
      </w:r>
      <w:r>
        <w:t xml:space="preserve"> </w:t>
      </w:r>
      <w:r>
        <w:t xml:space="preserve">seen before¹,². Such records anchor estimates of range-shift velocity, forecasts of</w:t>
      </w:r>
      <w:r>
        <w:t xml:space="preserve"> </w:t>
      </w:r>
      <w:r>
        <w:t xml:space="preserve">biodiversity turnover and the spatial targeting of conservation. They are also</w:t>
      </w:r>
      <w:r>
        <w:t xml:space="preserve"> </w:t>
      </w:r>
      <w:r>
        <w:t xml:space="preserve">deeply ambiguous. A new record is not produced by ecology alone: it requires that a</w:t>
      </w:r>
      <w:r>
        <w:t xml:space="preserve"> </w:t>
      </w:r>
      <w:r>
        <w:t xml:space="preserve">species become present or detectable, that observers visit the right place in the</w:t>
      </w:r>
      <w:r>
        <w:t xml:space="preserve"> </w:t>
      </w:r>
      <w:r>
        <w:t xml:space="preserve">right season, and that a reporting system capture the encounter. The ecological</w:t>
      </w:r>
      <w:r>
        <w:t xml:space="preserve"> </w:t>
      </w:r>
      <w:r>
        <w:t xml:space="preserve">process we wish to study and the observation process that reveals it are entangled</w:t>
      </w:r>
      <w:r>
        <w:t xml:space="preserve"> </w:t>
      </w:r>
      <w:r>
        <w:t xml:space="preserve">in the very data we use to study it³.</w:t>
      </w:r>
    </w:p>
    <w:p>
      <w:pPr>
        <w:pStyle w:val="BodyText"/>
      </w:pPr>
      <w:r>
        <w:t xml:space="preserve">This entanglement is not random noise. Occurrence data concentrate in accessible,</w:t>
      </w:r>
      <w:r>
        <w:t xml:space="preserve"> </w:t>
      </w:r>
      <w:r>
        <w:t xml:space="preserve">populous and repeatedly visited landscapes, and the explosive growth of citizen</w:t>
      </w:r>
      <w:r>
        <w:t xml:space="preserve"> </w:t>
      </w:r>
      <w:r>
        <w:t xml:space="preserve">science can manufacture the appearance of biodiversity change where ecological</w:t>
      </w:r>
      <w:r>
        <w:t xml:space="preserve"> </w:t>
      </w:r>
      <w:r>
        <w:t xml:space="preserve">change is slight³⁻⁵. The standard remedy is to treat survey effort as an additive</w:t>
      </w:r>
      <w:r>
        <w:t xml:space="preserve"> </w:t>
      </w:r>
      <w:r>
        <w:t xml:space="preserve">covariate or as an offset that rescales expected counts. Both share a hidden</w:t>
      </w:r>
      <w:r>
        <w:t xml:space="preserve"> </w:t>
      </w:r>
      <w:r>
        <w:t xml:space="preserve">assumption: that effort changes the</w:t>
      </w:r>
      <w:r>
        <w:t xml:space="preserve"> </w:t>
      </w:r>
      <w:r>
        <w:rPr>
          <w:i/>
          <w:iCs/>
        </w:rPr>
        <w:t xml:space="preserve">number</w:t>
      </w:r>
      <w:r>
        <w:t xml:space="preserve"> </w:t>
      </w:r>
      <w:r>
        <w:t xml:space="preserve">of records independently of ecological</w:t>
      </w:r>
      <w:r>
        <w:t xml:space="preserve"> </w:t>
      </w:r>
      <w:r>
        <w:t xml:space="preserve">exposure. For new distribution records that assumption is unlikely to hold.</w:t>
      </w:r>
      <w:r>
        <w:t xml:space="preserve"> </w:t>
      </w:r>
      <w:r>
        <w:t xml:space="preserve">Climatic exposure may raise the probability that a species reaches or persists in a</w:t>
      </w:r>
      <w:r>
        <w:t xml:space="preserve"> </w:t>
      </w:r>
      <w:r>
        <w:t xml:space="preserve">new place, but the colonisation becomes a</w:t>
      </w:r>
      <w:r>
        <w:t xml:space="preserve"> </w:t>
      </w:r>
      <w:r>
        <w:rPr>
          <w:i/>
          <w:iCs/>
        </w:rPr>
        <w:t xml:space="preserve">record</w:t>
      </w:r>
      <w:r>
        <w:t xml:space="preserve"> </w:t>
      </w:r>
      <w:r>
        <w:t xml:space="preserve">only where observation pressure</w:t>
      </w:r>
      <w:r>
        <w:t xml:space="preserve"> </w:t>
      </w:r>
      <w:r>
        <w:t xml:space="preserve">suffices to register it. If so, climate and effort should act on records</w:t>
      </w:r>
      <w:r>
        <w:t xml:space="preserve"> </w:t>
      </w:r>
      <w:r>
        <w:t xml:space="preserve">multiplicatively, and effort should behave as a</w:t>
      </w:r>
      <w:r>
        <w:t xml:space="preserve"> </w:t>
      </w:r>
      <w:r>
        <w:rPr>
          <w:i/>
          <w:iCs/>
        </w:rPr>
        <w:t xml:space="preserve">moderator</w:t>
      </w:r>
      <w:r>
        <w:t xml:space="preserve"> </w:t>
      </w:r>
      <w:r>
        <w:t xml:space="preserve">of the climate signal</w:t>
      </w:r>
      <w:r>
        <w:t xml:space="preserve"> </w:t>
      </w:r>
      <w:r>
        <w:t xml:space="preserve">rather than as a uniform multiplier.</w:t>
      </w:r>
    </w:p>
    <w:p>
      <w:pPr>
        <w:pStyle w:val="BodyText"/>
      </w:pPr>
      <w:r>
        <w:t xml:space="preserve">The distinction determines what a new-record map means. If effort is additive,</w:t>
      </w:r>
      <w:r>
        <w:t xml:space="preserve"> </w:t>
      </w:r>
      <w:r>
        <w:t xml:space="preserve">correcting for it recovers the climate signal and predicted records track climatic</w:t>
      </w:r>
      <w:r>
        <w:t xml:space="preserve"> </w:t>
      </w:r>
      <w:r>
        <w:t xml:space="preserve">exposure. If effort is a moderator, identical exposure yields records in</w:t>
      </w:r>
      <w:r>
        <w:t xml:space="preserve"> </w:t>
      </w:r>
      <w:r>
        <w:t xml:space="preserve">well-watched landscapes and silence elsewhere, so any map of "where ranges are</w:t>
      </w:r>
      <w:r>
        <w:t xml:space="preserve"> </w:t>
      </w:r>
      <w:r>
        <w:t xml:space="preserve">shifting" is partly a map of where people look — and any conservation priority</w:t>
      </w:r>
      <w:r>
        <w:t xml:space="preserve"> </w:t>
      </w:r>
      <w:r>
        <w:t xml:space="preserve">built on it inherits that bias. Despite its importance, the moderator-versus-scaling</w:t>
      </w:r>
      <w:r>
        <w:t xml:space="preserve"> </w:t>
      </w:r>
      <w:r>
        <w:t xml:space="preserve">question has not been posed as a direct, falsifiable test.</w:t>
      </w:r>
    </w:p>
    <w:p>
      <w:pPr>
        <w:pStyle w:val="BodyText"/>
      </w:pPr>
      <w:r>
        <w:t xml:space="preserve">China offers a demanding arena in which to pose it. The country spans tropical,</w:t>
      </w:r>
      <w:r>
        <w:t xml:space="preserve"> </w:t>
      </w:r>
      <w:r>
        <w:t xml:space="preserve">temperate, arid, plateau and high-mountain biomes across steep climatic gradients,</w:t>
      </w:r>
      <w:r>
        <w:t xml:space="preserve"> </w:t>
      </w:r>
      <w:r>
        <w:t xml:space="preserve">and bird recording has grown by more than an order of magnitude since 2002. New</w:t>
      </w:r>
      <w:r>
        <w:t xml:space="preserve"> </w:t>
      </w:r>
      <w:r>
        <w:t xml:space="preserve">bird records here may reflect genuine redistribution, intensifying observation, or</w:t>
      </w:r>
      <w:r>
        <w:t xml:space="preserve"> </w:t>
      </w:r>
      <w:r>
        <w:t xml:space="preserve">both, and the two are spatially confounded. Resolving them is a precondition for</w:t>
      </w:r>
      <w:r>
        <w:t xml:space="preserve"> </w:t>
      </w:r>
      <w:r>
        <w:t xml:space="preserve">using new-record data to infer range shifts or to design monitoring.</w:t>
      </w:r>
    </w:p>
    <w:p>
      <w:pPr>
        <w:pStyle w:val="BodyText"/>
      </w:pPr>
      <w:r>
        <w:t xml:space="preserve">We develop a multi-scale, discrete-time hazard framework and test four hypotheses.</w:t>
      </w:r>
      <w:r>
        <w:t xml:space="preserve"> </w:t>
      </w:r>
      <w:r>
        <w:rPr>
          <w:b/>
          <w:bCs/>
        </w:rPr>
        <w:t xml:space="preserve">H1</w:t>
      </w:r>
      <w:r>
        <w:t xml:space="preserve">: climate exposure and survey effort combine interactively, not additively.</w:t>
      </w:r>
      <w:r>
        <w:t xml:space="preserve"> </w:t>
      </w:r>
      <w:r>
        <w:rPr>
          <w:b/>
          <w:bCs/>
        </w:rPr>
        <w:t xml:space="preserve">H2</w:t>
      </w:r>
      <w:r>
        <w:t xml:space="preserve">: effort moderates the climate–hazard relationship rather than scaling record</w:t>
      </w:r>
      <w:r>
        <w:t xml:space="preserve"> </w:t>
      </w:r>
      <w:r>
        <w:t xml:space="preserve">counts — operationalised as an interaction model versus a raw-effort offset model,</w:t>
      </w:r>
      <w:r>
        <w:t xml:space="preserve"> </w:t>
      </w:r>
      <w:r>
        <w:t xml:space="preserve">and defended against reverse causation by lagging effort.</w:t>
      </w:r>
      <w:r>
        <w:t xml:space="preserve"> </w:t>
      </w:r>
      <w:r>
        <w:rPr>
          <w:b/>
          <w:bCs/>
        </w:rPr>
        <w:t xml:space="preserve">H3</w:t>
      </w:r>
      <w:r>
        <w:t xml:space="preserve">: the interaction is</w:t>
      </w:r>
      <w:r>
        <w:t xml:space="preserve"> </w:t>
      </w:r>
      <w:r>
        <w:t xml:space="preserve">general across climate and effort proxies, life histories, risk-set definitions and</w:t>
      </w:r>
      <w:r>
        <w:t xml:space="preserve"> </w:t>
      </w:r>
      <w:r>
        <w:t xml:space="preserve">spatial scales, while its strength is proxy-, trait- and scale-dependent.</w:t>
      </w:r>
      <w:r>
        <w:t xml:space="preserve"> </w:t>
      </w:r>
      <w:r>
        <w:rPr>
          <w:b/>
          <w:bCs/>
        </w:rPr>
        <w:t xml:space="preserve">H4</w:t>
      </w:r>
      <w:r>
        <w:t xml:space="preserve">:</w:t>
      </w:r>
      <w:r>
        <w:t xml:space="preserve"> </w:t>
      </w:r>
      <w:r>
        <w:t xml:space="preserve">because the process is partly an observation process, the framework is informative</w:t>
      </w:r>
      <w:r>
        <w:t xml:space="preserve"> </w:t>
      </w:r>
      <w:r>
        <w:t xml:space="preserve">for inference and near-term projection but bounded for extrapolation, with direct</w:t>
      </w:r>
      <w:r>
        <w:t xml:space="preserve"> </w:t>
      </w:r>
      <w:r>
        <w:t xml:space="preserve">consequences for monitoring design.</w:t>
      </w:r>
    </w:p>
    <w:bookmarkStart w:id="11" w:name="Xd73a9a77072de6512b529d7d331366c3c789bf3"/>
    <w:p>
      <w:pPr>
        <w:pStyle w:val="Heading3"/>
      </w:pPr>
      <w:r>
        <w:t xml:space="preserve">Complete risk sets across species-distribution-model thresholds</w:t>
      </w:r>
    </w:p>
    <w:p>
      <w:pPr>
        <w:pStyle w:val="FirstParagraph"/>
      </w:pPr>
      <w:r>
        <w:t xml:space="preserve">We cast each potential new record as a survival problem: a row is a</w:t>
      </w:r>
      <w:r>
        <w:t xml:space="preserve"> </w:t>
      </w:r>
      <w:r>
        <w:t xml:space="preserve">species-by-province-by-year combination at risk of a first record before the event</w:t>
      </w:r>
      <w:r>
        <w:t xml:space="preserve"> </w:t>
      </w:r>
      <w:r>
        <w:t xml:space="preserve">year, and the response is the binary first arrival. Crucially, we analyse</w:t>
      </w:r>
      <w:r>
        <w:t xml:space="preserve"> </w:t>
      </w:r>
      <w:r>
        <w:rPr>
          <w:b/>
          <w:bCs/>
        </w:rPr>
        <w:t xml:space="preserve">complete</w:t>
      </w:r>
      <w:r>
        <w:rPr>
          <w:b/>
          <w:bCs/>
        </w:rPr>
        <w:t xml:space="preserve"> </w:t>
      </w:r>
      <w:r>
        <w:rPr>
          <w:b/>
          <w:bCs/>
        </w:rPr>
        <w:t xml:space="preserve">risk sets</w:t>
      </w:r>
      <w:r>
        <w:t xml:space="preserve"> </w:t>
      </w:r>
      <w:r>
        <w:t xml:space="preserve">— no complete-case truncation and no case-control subsampling — and we</w:t>
      </w:r>
      <w:r>
        <w:t xml:space="preserve"> </w:t>
      </w:r>
      <w:r>
        <w:t xml:space="preserve">rebuild them at three thresholds of the species-distribution model that defines</w:t>
      </w:r>
      <w:r>
        <w:t xml:space="preserve"> </w:t>
      </w:r>
      <w:r>
        <w:t xml:space="preserve">which species are considered at risk where. Every observed event is force-included,</w:t>
      </w:r>
      <w:r>
        <w:t xml:space="preserve"> </w:t>
      </w:r>
      <w:r>
        <w:t xml:space="preserve">so the threshold changes the candidate (non-event) denominator without altering the</w:t>
      </w:r>
      <w:r>
        <w:t xml:space="preserve"> </w:t>
      </w:r>
      <w:r>
        <w:t xml:space="preserve">numerator (Table 1). The three sets contain 188,870, 174,859 and 164,050 rows for</w:t>
      </w:r>
      <w:r>
        <w:t xml:space="preserve"> </w:t>
      </w:r>
      <w:r>
        <w:t xml:space="preserve">463 species and 817 events each; an earlier, complete-case-truncated set of 12,813</w:t>
      </w:r>
      <w:r>
        <w:t xml:space="preserve"> </w:t>
      </w:r>
      <w:r>
        <w:t xml:space="preserve">rows and 512 events is retained only as a reference.</w:t>
      </w:r>
    </w:p>
    <w:p>
      <w:pPr>
        <w:pStyle w:val="BodyText"/>
      </w:pPr>
      <w:r>
        <w:rPr>
          <w:b/>
          <w:bCs/>
        </w:rPr>
        <w:t xml:space="preserve">Table 1 | Complete risk sets across species-distribution-model thresholds.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Candidate pairs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Species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Provinces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 (most permissive)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8,931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188,870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174,859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 (most restrictive)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164,050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truncated reference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7,764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12,813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333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512</w:t>
            </w:r>
          </w:p>
        </w:tc>
      </w:tr>
    </w:tbl>
    <w:p>
      <w:pPr>
        <w:pStyle w:val="BodyText"/>
      </w:pPr>
      <w:r>
        <w:t xml:space="preserve">We fitted a nested family of complementary log-log hazard models with crossed random</w:t>
      </w:r>
      <w:r>
        <w:t xml:space="preserve"> </w:t>
      </w:r>
      <w:r>
        <w:t xml:space="preserve">intercepts for species and province (Methods): a null model (M0), effort-only (M1),</w:t>
      </w:r>
      <w:r>
        <w:t xml:space="preserve"> </w:t>
      </w:r>
      <w:r>
        <w:t xml:space="preserve">climate-only (M2), additive climate-plus-effort (M3), a climate-by-effort interaction</w:t>
      </w:r>
      <w:r>
        <w:t xml:space="preserve"> </w:t>
      </w:r>
      <w:r>
        <w:t xml:space="preserve">(M4) and a climate-plus-raw-effort-offset model (M5). Two contrasts carry the</w:t>
      </w:r>
      <w:r>
        <w:t xml:space="preserve"> </w:t>
      </w:r>
      <w:r>
        <w:t xml:space="preserve">argument — M4 against M3 (interaction versus addition) and M4 against M5 (moderation</w:t>
      </w:r>
      <w:r>
        <w:t xml:space="preserve"> </w:t>
      </w:r>
      <w:r>
        <w:t xml:space="preserve">versus scaling).</w:t>
      </w:r>
    </w:p>
    <w:bookmarkEnd w:id="11"/>
    <w:bookmarkStart w:id="12" w:name="X465d12db94d6307d8e493fd3141dfcd1d292864"/>
    <w:p>
      <w:pPr>
        <w:pStyle w:val="Heading3"/>
      </w:pPr>
      <w:r>
        <w:t xml:space="preserve">Climate and effort combine multiplicatively</w:t>
      </w:r>
    </w:p>
    <w:p>
      <w:pPr>
        <w:pStyle w:val="FirstParagraph"/>
      </w:pPr>
      <w:r>
        <w:rPr>
          <w:b/>
          <w:bCs/>
        </w:rPr>
        <w:t xml:space="preserve">M4 is the best-supported model at every threshold</w:t>
      </w:r>
      <w:r>
        <w:t xml:space="preserve"> </w:t>
      </w:r>
      <w:r>
        <w:t xml:space="preserve">(Fig. 1a). Under the headline</w:t>
      </w:r>
      <w:r>
        <w:t xml:space="preserve"> </w:t>
      </w:r>
      <w:r>
        <w:t xml:space="preserve">effort proxy it beats the additive model M3 by ΔAIC = 51–56 and the offset model M5</w:t>
      </w:r>
      <w:r>
        <w:t xml:space="preserve"> </w:t>
      </w:r>
      <w:r>
        <w:t xml:space="preserve">by 79–81, while the null and climate-only models lag by 332–351 and 317–337. The</w:t>
      </w:r>
      <w:r>
        <w:t xml:space="preserve"> </w:t>
      </w:r>
      <w:r>
        <w:t xml:space="preserve">interaction hazard ratio is essentially unaffected by the threshold: 1.274</w:t>
      </w:r>
      <w:r>
        <w:t xml:space="preserve"> </w:t>
      </w:r>
      <w:r>
        <w:t xml:space="preserve">(95 % confidence interval 1.20–1.35,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1.1 × 10⁻¹⁴) at threshold 50, 1.289</w:t>
      </w:r>
      <w:r>
        <w:t xml:space="preserve"> </w:t>
      </w:r>
      <w:r>
        <w:t xml:space="preserve">(1.21–1.37,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6.2 × 10⁻¹⁶) at 100 and 1.290 (1.21–1.37,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4.7 × 10⁻¹⁶) at</w:t>
      </w:r>
      <w:r>
        <w:t xml:space="preserve"> </w:t>
      </w:r>
      <w:r>
        <w:t xml:space="preserve">200. Across all five effort proxies the interaction spans 1.12–1.43 (all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10⁻⁵).</w:t>
      </w:r>
    </w:p>
    <w:p>
      <w:pPr>
        <w:pStyle w:val="BodyText"/>
      </w:pPr>
      <w:r>
        <w:t xml:space="preserve">A second feature of the ladder is diagnostic. Effort alone (M1, ΔAIC = 62–68)</w:t>
      </w:r>
      <w:r>
        <w:t xml:space="preserve"> </w:t>
      </w:r>
      <w:r>
        <w:t xml:space="preserve">explains far more than climate alone (M2, ΔAIC = 317–337): climate contributes</w:t>
      </w:r>
      <w:r>
        <w:t xml:space="preserve"> </w:t>
      </w:r>
      <w:r>
        <w:t xml:space="preserve">little as a main effect and much as a modifier. This is the paper's central claim in</w:t>
      </w:r>
      <w:r>
        <w:t xml:space="preserve"> </w:t>
      </w:r>
      <w:r>
        <w:t xml:space="preserve">its most compact form.</w:t>
      </w:r>
    </w:p>
    <w:bookmarkEnd w:id="12"/>
    <w:bookmarkStart w:id="13" w:name="X9c15e6cd9c93e008c10e30679196f640495cc75"/>
    <w:p>
      <w:pPr>
        <w:pStyle w:val="Heading3"/>
      </w:pPr>
      <w:r>
        <w:t xml:space="preserve">Effort moderates, rather than scales, record hazard</w:t>
      </w:r>
    </w:p>
    <w:p>
      <w:pPr>
        <w:pStyle w:val="FirstParagraph"/>
      </w:pPr>
      <w:r>
        <w:t xml:space="preserve">A positive interaction is necessary but not sufficient to establish moderation,</w:t>
      </w:r>
      <w:r>
        <w:t xml:space="preserve"> </w:t>
      </w:r>
      <w:r>
        <w:t xml:space="preserve">because multiplicative scaling of effort would also break additivity. We therefore</w:t>
      </w:r>
      <w:r>
        <w:t xml:space="preserve"> </w:t>
      </w:r>
      <w:r>
        <w:t xml:space="preserve">pitted the interaction model against an offset model in which effort enters on the</w:t>
      </w:r>
      <w:r>
        <w:t xml:space="preserve"> </w:t>
      </w:r>
      <w:r>
        <w:t xml:space="preserve">raw log-rate scale with its coefficient fixed at one — the formal encoding of</w:t>
      </w:r>
      <w:r>
        <w:t xml:space="preserve"> </w:t>
      </w:r>
      <w:r>
        <w:t xml:space="preserve">"effort scales records". On complete risk sets the interaction model wins at</w:t>
      </w:r>
      <w:r>
        <w:t xml:space="preserve"> </w:t>
      </w:r>
      <w:r>
        <w:rPr>
          <w:b/>
          <w:bCs/>
        </w:rPr>
        <w:t xml:space="preserve">all</w:t>
      </w:r>
      <w:r>
        <w:rPr>
          <w:b/>
          <w:bCs/>
        </w:rPr>
        <w:t xml:space="preserve"> </w:t>
      </w:r>
      <w:r>
        <w:rPr>
          <w:b/>
          <w:bCs/>
        </w:rPr>
        <w:t xml:space="preserve">three thresholds</w:t>
      </w:r>
      <w:r>
        <w:t xml:space="preserve"> </w:t>
      </w:r>
      <w:r>
        <w:t xml:space="preserve">(Fig. 1a), a cleaner result than on the truncated set, where the</w:t>
      </w:r>
      <w:r>
        <w:t xml:space="preserve"> </w:t>
      </w:r>
      <w:r>
        <w:t xml:space="preserve">offset model occasionally tied. Effort changes the</w:t>
      </w:r>
      <w:r>
        <w:t xml:space="preserve"> </w:t>
      </w:r>
      <w:r>
        <w:rPr>
          <w:i/>
          <w:iCs/>
        </w:rPr>
        <w:t xml:space="preserve">slope</w:t>
      </w:r>
      <w:r>
        <w:t xml:space="preserve"> </w:t>
      </w:r>
      <w:r>
        <w:t xml:space="preserve">of the climate–hazard</w:t>
      </w:r>
      <w:r>
        <w:t xml:space="preserve"> </w:t>
      </w:r>
      <w:r>
        <w:t xml:space="preserve">relationship, not merely its intercept, which is the statistical signature of a</w:t>
      </w:r>
      <w:r>
        <w:t xml:space="preserve"> </w:t>
      </w:r>
      <w:r>
        <w:t xml:space="preserve">moderator.</w:t>
      </w:r>
    </w:p>
    <w:p>
      <w:pPr>
        <w:pStyle w:val="BodyText"/>
      </w:pPr>
      <w:r>
        <w:t xml:space="preserve">The most serious alternative is reverse causation: observers may flock to places</w:t>
      </w:r>
      <w:r>
        <w:t xml:space="preserve"> </w:t>
      </w:r>
      <w:r>
        <w:t xml:space="preserve">with recent notable records. Because effort is measured at the province-year level,</w:t>
      </w:r>
      <w:r>
        <w:t xml:space="preserve"> </w:t>
      </w:r>
      <w:r>
        <w:t xml:space="preserve">we replaced each row's current-year effort with the same province's effort from the</w:t>
      </w:r>
      <w:r>
        <w:t xml:space="preserve"> </w:t>
      </w:r>
      <w:r>
        <w:t xml:space="preserve">previous year and refitted. Effort that predates the event year cannot respond to</w:t>
      </w:r>
      <w:r>
        <w:t xml:space="preserve"> </w:t>
      </w:r>
      <w:r>
        <w:t xml:space="preserve">it, yet the lagged interaction was, if anything, stronger (hazard ratio 1.29,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9.7 × 10⁻¹¹), ordering the two variables in the direction moderation predicts.</w:t>
      </w:r>
    </w:p>
    <w:bookmarkEnd w:id="13"/>
    <w:bookmarkStart w:id="14" w:name="X08257664a66dd96d58d6f8573a23df93c990ab0"/>
    <w:p>
      <w:pPr>
        <w:pStyle w:val="Heading3"/>
      </w:pPr>
      <w:r>
        <w:t xml:space="preserve">The interaction runs through a thermal channel</w:t>
      </w:r>
    </w:p>
    <w:p>
      <w:pPr>
        <w:pStyle w:val="FirstParagraph"/>
      </w:pPr>
      <w:r>
        <w:t xml:space="preserve">To test whether the result is an artefact of one metric choice we fitted the</w:t>
      </w:r>
      <w:r>
        <w:t xml:space="preserve"> </w:t>
      </w:r>
      <w:r>
        <w:t xml:space="preserve">interaction for every combination of nine climate and five effort proxies</w:t>
      </w:r>
      <w:r>
        <w:t xml:space="preserve"> </w:t>
      </w:r>
      <w:r>
        <w:t xml:space="preserve">(Fig. 1b). The interaction is</w:t>
      </w:r>
      <w:r>
        <w:t xml:space="preserve"> </w:t>
      </w:r>
      <w:r>
        <w:rPr>
          <w:b/>
          <w:bCs/>
        </w:rPr>
        <w:t xml:space="preserve">proxy-specific rather than a generic climate</w:t>
      </w:r>
      <w:r>
        <w:rPr>
          <w:b/>
          <w:bCs/>
        </w:rPr>
        <w:t xml:space="preserve"> </w:t>
      </w:r>
      <w:r>
        <w:rPr>
          <w:b/>
          <w:bCs/>
        </w:rPr>
        <w:t xml:space="preserve">effect</w:t>
      </w:r>
      <w:r>
        <w:t xml:space="preserve">. Temperature anomaly and its gradient interact strongly with every effort</w:t>
      </w:r>
      <w:r>
        <w:t xml:space="preserve"> </w:t>
      </w:r>
      <w:r>
        <w:t xml:space="preserve">proxy (1.12–1.43, all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0.001) and precipitation anomaly moderately</w:t>
      </w:r>
      <w:r>
        <w:t xml:space="preserve"> </w:t>
      </w:r>
      <w:r>
        <w:t xml:space="preserve">(1.05–1.23); Mahalanobis climate displacement is weak (1.01–1.13); and</w:t>
      </w:r>
      <w:r>
        <w:t xml:space="preserve"> </w:t>
      </w:r>
      <w:r>
        <w:t xml:space="preserve">climate-velocity, climate-exposure and warming-rate proxies show no interaction at</w:t>
      </w:r>
      <w:r>
        <w:t xml:space="preserve"> </w:t>
      </w:r>
      <w:r>
        <w:t xml:space="preserve">all (0.88–1.06). Moderation therefore operates through year-to-year thermal</w:t>
      </w:r>
      <w:r>
        <w:t xml:space="preserve"> </w:t>
      </w:r>
      <w:r>
        <w:t xml:space="preserve">exposure, not through composite indices of climate change. We verified and report</w:t>
      </w:r>
      <w:r>
        <w:t xml:space="preserve"> </w:t>
      </w:r>
      <w:r>
        <w:t xml:space="preserve">that two proxy pairs in the source panel are perfectly collinear after</w:t>
      </w:r>
      <w:r>
        <w:t xml:space="preserve"> </w:t>
      </w:r>
      <w:r>
        <w:t xml:space="preserve">standardisation (temperature gradient with temperature anomaly; precipitation</w:t>
      </w:r>
      <w:r>
        <w:t xml:space="preserve"> </w:t>
      </w:r>
      <w:r>
        <w:t xml:space="preserve">gradient with precipitation anomaly, both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= 1.00) and that climate exposure and</w:t>
      </w:r>
      <w:r>
        <w:t xml:space="preserve"> </w:t>
      </w:r>
      <w:r>
        <w:t xml:space="preserve">warming rate are near-redundant (</w:t>
      </w:r>
      <w:r>
        <w:rPr>
          <w:i/>
          <w:iCs/>
        </w:rPr>
        <w:t xml:space="preserve">r</w:t>
      </w:r>
      <w:r>
        <w:t xml:space="preserve"> </w:t>
      </w:r>
      <w:r>
        <w:t xml:space="preserve">= 0.89), so the nine proxies span seven</w:t>
      </w:r>
      <w:r>
        <w:t xml:space="preserve"> </w:t>
      </w:r>
      <w:r>
        <w:t xml:space="preserve">independent axes.</w:t>
      </w:r>
    </w:p>
    <w:bookmarkEnd w:id="14"/>
    <w:bookmarkStart w:id="15" w:name="X7a2185ec779eec1d70d156ced23bfb7c3f201e0"/>
    <w:p>
      <w:pPr>
        <w:pStyle w:val="Heading3"/>
      </w:pPr>
      <w:r>
        <w:t xml:space="preserve">A general mechanism with trait-dependent strength</w:t>
      </w:r>
    </w:p>
    <w:p>
      <w:pPr>
        <w:pStyle w:val="FirstParagraph"/>
      </w:pPr>
      <w:r>
        <w:t xml:space="preserve">Stratifying by migratory strategy relaxed the assumption of a single slope across</w:t>
      </w:r>
      <w:r>
        <w:t xml:space="preserve"> </w:t>
      </w:r>
      <w:r>
        <w:t xml:space="preserve">species (Fig. 2a). The interaction is positive and significant in</w:t>
      </w:r>
      <w:r>
        <w:t xml:space="preserve"> </w:t>
      </w:r>
      <w:r>
        <w:rPr>
          <w:b/>
          <w:bCs/>
        </w:rPr>
        <w:t xml:space="preserve">every group at</w:t>
      </w:r>
      <w:r>
        <w:rPr>
          <w:b/>
          <w:bCs/>
        </w:rPr>
        <w:t xml:space="preserve"> </w:t>
      </w:r>
      <w:r>
        <w:rPr>
          <w:b/>
          <w:bCs/>
        </w:rPr>
        <w:t xml:space="preserve">every threshold</w:t>
      </w:r>
      <w:r>
        <w:t xml:space="preserve">, and the ordering is stable: long-distance migrants strongest</w:t>
      </w:r>
      <w:r>
        <w:t xml:space="preserve"> </w:t>
      </w:r>
      <w:r>
        <w:t xml:space="preserve">(1.325–1.354), then migrants overall (1.291–1.314), residents (1.278–1.310) and</w:t>
      </w:r>
      <w:r>
        <w:t xml:space="preserve"> </w:t>
      </w:r>
      <w:r>
        <w:t xml:space="preserve">partial migrants (1.220–1.254). Effort moderation is thus a general property of the</w:t>
      </w:r>
      <w:r>
        <w:t xml:space="preserve"> </w:t>
      </w:r>
      <w:r>
        <w:t xml:space="preserve">record-generating process rather than a feature of one life history. Notably, the</w:t>
      </w:r>
      <w:r>
        <w:t xml:space="preserve"> </w:t>
      </w:r>
      <w:r>
        <w:t xml:space="preserve">truncated set had implied the opposite ordering, with residents strongest — an</w:t>
      </w:r>
      <w:r>
        <w:t xml:space="preserve"> </w:t>
      </w:r>
      <w:r>
        <w:t xml:space="preserve">artefact of the species filtering that removed many migrant and vagrant taxa, and a</w:t>
      </w:r>
      <w:r>
        <w:t xml:space="preserve"> </w:t>
      </w:r>
      <w:r>
        <w:t xml:space="preserve">concrete illustration of why complete risk sets matter.</w:t>
      </w:r>
    </w:p>
    <w:bookmarkEnd w:id="15"/>
    <w:bookmarkStart w:id="16" w:name="Xff8c64fcac297676dcccc237e7842c4b3b542fa"/>
    <w:p>
      <w:pPr>
        <w:pStyle w:val="Heading3"/>
      </w:pPr>
      <w:r>
        <w:t xml:space="preserve">Partitioning the roles of effort, climate and their interaction</w:t>
      </w:r>
    </w:p>
    <w:p>
      <w:pPr>
        <w:pStyle w:val="FirstParagraph"/>
      </w:pPr>
      <w:r>
        <w:t xml:space="preserve">Decomposing the deviance explained by M4 relative to the null model gives a</w:t>
      </w:r>
      <w:r>
        <w:t xml:space="preserve"> </w:t>
      </w:r>
      <w:r>
        <w:t xml:space="preserve">remarkably stable partition across thresholds (Fig. 2b):</w:t>
      </w:r>
      <w:r>
        <w:t xml:space="preserve"> </w:t>
      </w:r>
      <w:r>
        <w:rPr>
          <w:b/>
          <w:bCs/>
        </w:rPr>
        <w:t xml:space="preserve">unique effort ~79 %, the</w:t>
      </w:r>
      <w:r>
        <w:rPr>
          <w:b/>
          <w:bCs/>
        </w:rPr>
        <w:t xml:space="preserve"> </w:t>
      </w:r>
      <w:r>
        <w:rPr>
          <w:b/>
          <w:bCs/>
        </w:rPr>
        <w:t xml:space="preserve">climate-by-effort interaction 16 %, unique climate ~4 % and shared components ~1 %</w:t>
      </w:r>
      <w:r>
        <w:t xml:space="preserve">.</w:t>
      </w:r>
      <w:r>
        <w:t xml:space="preserve"> </w:t>
      </w:r>
      <w:r>
        <w:t xml:space="preserve">Across effort proxies the interaction share ranges 12–30 % and unique climate never</w:t>
      </w:r>
      <w:r>
        <w:t xml:space="preserve"> </w:t>
      </w:r>
      <w:r>
        <w:t xml:space="preserve">exceeds 6 %. Variance components of M4 are marginal</w:t>
      </w:r>
      <w:r>
        <w:t xml:space="preserve"> </w:t>
      </w:r>
      <w:r>
        <w:rPr>
          <w:i/>
          <w:iCs/>
        </w:rPr>
        <w:t xml:space="preserve">R</w:t>
      </w:r>
      <w:r>
        <w:t xml:space="preserve">² = 0.121–0.124 and</w:t>
      </w:r>
      <w:r>
        <w:t xml:space="preserve"> </w:t>
      </w:r>
      <w:r>
        <w:t xml:space="preserve">conditional</w:t>
      </w:r>
      <w:r>
        <w:t xml:space="preserve"> </w:t>
      </w:r>
      <w:r>
        <w:rPr>
          <w:i/>
          <w:iCs/>
        </w:rPr>
        <w:t xml:space="preserve">R</w:t>
      </w:r>
      <w:r>
        <w:t xml:space="preserve">² = 0.596–0.609: fixed effects explain about a eighth of the</w:t>
      </w:r>
      <w:r>
        <w:t xml:space="preserve"> </w:t>
      </w:r>
      <w:r>
        <w:t xml:space="preserve">variance and the full model, including species and province random effects, about</w:t>
      </w:r>
      <w:r>
        <w:t xml:space="preserve"> </w:t>
      </w:r>
      <w:r>
        <w:t xml:space="preserve">three fifths.</w:t>
      </w:r>
    </w:p>
    <w:p>
      <w:pPr>
        <w:pStyle w:val="BodyText"/>
      </w:pPr>
      <w:r>
        <w:t xml:space="preserve">The quantitative message is that survey effort is the dominant single driver of</w:t>
      </w:r>
      <w:r>
        <w:t xml:space="preserve"> </w:t>
      </w:r>
      <w:r>
        <w:t xml:space="preserve">whether and when a record appears, climate contributes almost nothing on its own,</w:t>
      </w:r>
      <w:r>
        <w:t xml:space="preserve"> </w:t>
      </w:r>
      <w:r>
        <w:t xml:space="preserve">and a substantial 12–30 % arises only once climate is allowed to interact with</w:t>
      </w:r>
      <w:r>
        <w:t xml:space="preserve"> </w:t>
      </w:r>
      <w:r>
        <w:t xml:space="preserve">effort.</w:t>
      </w:r>
    </w:p>
    <w:p>
      <w:pPr>
        <w:pStyle w:val="BodyText"/>
      </w:pPr>
      <w:r>
        <w:t xml:space="preserve">Tree-ensemble variable importance tells a superficially contradictory story</w:t>
      </w:r>
      <w:r>
        <w:t xml:space="preserve"> </w:t>
      </w:r>
      <w:r>
        <w:t xml:space="preserve">(Fig. 2c): random-forest permutation importance ranks climate proxies at 88 % and</w:t>
      </w:r>
      <w:r>
        <w:t xml:space="preserve"> </w:t>
      </w:r>
      <w:r>
        <w:t xml:space="preserve">effort at −6 %, and gradient boosting at 55 % versus 21 %. The two approaches answer</w:t>
      </w:r>
      <w:r>
        <w:t xml:space="preserve"> </w:t>
      </w:r>
      <w:r>
        <w:t xml:space="preserve">different questions. The hazard model conditions on species and province random</w:t>
      </w:r>
      <w:r>
        <w:t xml:space="preserve"> </w:t>
      </w:r>
      <w:r>
        <w:t xml:space="preserve">effects, so its fixed effects describe within-province temporal variation, where</w:t>
      </w:r>
      <w:r>
        <w:t xml:space="preserve"> </w:t>
      </w:r>
      <w:r>
        <w:t xml:space="preserve">growing effort is highly informative. The tree models have no such structure and</w:t>
      </w:r>
      <w:r>
        <w:t xml:space="preserve"> </w:t>
      </w:r>
      <w:r>
        <w:t xml:space="preserve">instead use spatially structured climate proxies to encode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a row is; effort,</w:t>
      </w:r>
      <w:r>
        <w:t xml:space="preserve"> </w:t>
      </w:r>
      <w:r>
        <w:t xml:space="preserve">which rises almost everywhere, then carries little discriminative signal. That</w:t>
      </w:r>
      <w:r>
        <w:t xml:space="preserve"> </w:t>
      </w:r>
      <w:r>
        <w:t xml:space="preserve">effort's contribution emerges only once species and place are conditioned on is</w:t>
      </w:r>
      <w:r>
        <w:t xml:space="preserve"> </w:t>
      </w:r>
      <w:r>
        <w:t xml:space="preserve">itself consistent with effort acting as a</w:t>
      </w:r>
      <w:r>
        <w:t xml:space="preserve"> </w:t>
      </w:r>
      <w:r>
        <w:rPr>
          <w:b/>
          <w:bCs/>
        </w:rPr>
        <w:t xml:space="preserve">conditional moderator</w:t>
      </w:r>
      <w:r>
        <w:t xml:space="preserve"> </w:t>
      </w:r>
      <w:r>
        <w:t xml:space="preserve">rather than a</w:t>
      </w:r>
      <w:r>
        <w:t xml:space="preserve"> </w:t>
      </w:r>
      <w:r>
        <w:t xml:space="preserve">free-standing predictor.</w:t>
      </w:r>
    </w:p>
    <w:bookmarkEnd w:id="16"/>
    <w:bookmarkStart w:id="17" w:name="Xac4309f42c686f1d0665c5bcfad81a6b07f458a"/>
    <w:p>
      <w:pPr>
        <w:pStyle w:val="Heading3"/>
      </w:pPr>
      <w:r>
        <w:t xml:space="preserve">Scale dependence and ecological-grain prediction</w:t>
      </w:r>
    </w:p>
    <w:p>
      <w:pPr>
        <w:pStyle w:val="FirstParagraph"/>
      </w:pPr>
      <w:r>
        <w:t xml:space="preserve">Propagating the risk-set logic to finer administrative units preserved the</w:t>
      </w:r>
      <w:r>
        <w:t xml:space="preserve"> </w:t>
      </w:r>
      <w:r>
        <w:t xml:space="preserve">interaction in sign while attenuating it with grain (province → prefecture →</w:t>
      </w:r>
      <w:r>
        <w:t xml:space="preserve"> </w:t>
      </w:r>
      <w:r>
        <w:t xml:space="preserve">county), the expected behaviour of a signal carried partly by broad gradients in</w:t>
      </w:r>
      <w:r>
        <w:t xml:space="preserve"> </w:t>
      </w:r>
      <w:r>
        <w:t xml:space="preserve">exposure and survey infrastructure; residual spatial autocorrelation was negligible</w:t>
      </w:r>
      <w:r>
        <w:t xml:space="preserve"> </w:t>
      </w:r>
      <w:r>
        <w:t xml:space="preserve">at all tested distances. Because new records are documented at province resolution,</w:t>
      </w:r>
      <w:r>
        <w:t xml:space="preserve"> </w:t>
      </w:r>
      <w:r>
        <w:t xml:space="preserve">we fitted the model there and projected it onto the ecological grain: applying the</w:t>
      </w:r>
      <w:r>
        <w:t xml:space="preserve"> </w:t>
      </w:r>
      <w:r>
        <w:t xml:space="preserve">fitted relationship to grid-native climate (CRU monthly temperature, 2002–2024) and</w:t>
      </w:r>
      <w:r>
        <w:t xml:space="preserve"> </w:t>
      </w:r>
      <w:r>
        <w:t xml:space="preserve">grid-native effort from the merged eBird/GBIF and China Bird-Watching panel yields a</w:t>
      </w:r>
      <w:r>
        <w:t xml:space="preserve"> </w:t>
      </w:r>
      <w:r>
        <w:t xml:space="preserve">continuous national risk surface (Fig. 3) in which the effort-conditioned climate</w:t>
      </w:r>
      <w:r>
        <w:t xml:space="preserve"> </w:t>
      </w:r>
      <w:r>
        <w:t xml:space="preserve">slope turns positive only where observation is sufficient, rendering the moderation</w:t>
      </w:r>
      <w:r>
        <w:t xml:space="preserve"> </w:t>
      </w:r>
      <w:r>
        <w:t xml:space="preserve">mechanism as geography.</w:t>
      </w:r>
    </w:p>
    <w:bookmarkEnd w:id="17"/>
    <w:bookmarkStart w:id="18" w:name="X769a7c11a4ab2e49fb577ecb77b3fefc95b74b5"/>
    <w:p>
      <w:pPr>
        <w:pStyle w:val="Heading3"/>
      </w:pPr>
      <w:r>
        <w:t xml:space="preserve">Prediction accuracy depends on the task, not the algorithm</w:t>
      </w:r>
    </w:p>
    <w:p>
      <w:pPr>
        <w:pStyle w:val="FirstParagraph"/>
      </w:pPr>
      <w:r>
        <w:t xml:space="preserve">We validated both model classes on the complete risk set under three regimes</w:t>
      </w:r>
      <w:r>
        <w:t xml:space="preserve"> </w:t>
      </w:r>
      <w:r>
        <w:t xml:space="preserve">(Fig. 4c). For within-domain interpolation the machine-learning model is clearly</w:t>
      </w:r>
      <w:r>
        <w:t xml:space="preserve"> </w:t>
      </w:r>
      <w:r>
        <w:t xml:space="preserve">better (area under the curve 0.774 versus 0.694; precision-recall 0.014 versus</w:t>
      </w:r>
      <w:r>
        <w:t xml:space="preserve"> </w:t>
      </w:r>
      <w:r>
        <w:t xml:space="preserve">0.008). For temporal forecasting and for spatial extrapolation to held-out province</w:t>
      </w:r>
      <w:r>
        <w:t xml:space="preserve"> </w:t>
      </w:r>
      <w:r>
        <w:t xml:space="preserve">blocks, however, the two classes converge (0.615–0.630 and 0.613–0.616): additional</w:t>
      </w:r>
      <w:r>
        <w:t xml:space="preserve"> </w:t>
      </w:r>
      <w:r>
        <w:t xml:space="preserve">flexibility buys nothing once the prediction target leaves the observed domain.</w:t>
      </w:r>
      <w:r>
        <w:t xml:space="preserve"> </w:t>
      </w:r>
      <w:r>
        <w:t xml:space="preserve">Calibration slopes tell the same story, falling from 0.91–0.97 under random folds to</w:t>
      </w:r>
      <w:r>
        <w:t xml:space="preserve"> </w:t>
      </w:r>
      <w:r>
        <w:t xml:space="preserve">0.45–0.65 under temporal and spatial validation, so absolute probabilities — not only</w:t>
      </w:r>
      <w:r>
        <w:t xml:space="preserve"> </w:t>
      </w:r>
      <w:r>
        <w:t xml:space="preserve">rankings — should be treated cautiously outside interpolation. The difficulty of</w:t>
      </w:r>
      <w:r>
        <w:t xml:space="preserve"> </w:t>
      </w:r>
      <w:r>
        <w:t xml:space="preserve">forecasting new records is therefore a property of the data-generating process rather</w:t>
      </w:r>
      <w:r>
        <w:t xml:space="preserve"> </w:t>
      </w:r>
      <w:r>
        <w:t xml:space="preserve">than of any algorithm.</w:t>
      </w:r>
    </w:p>
    <w:bookmarkEnd w:id="18"/>
    <w:bookmarkStart w:id="19" w:name="Xb7134690825bd2ab4b59e40f524ebd568290069"/>
    <w:p>
      <w:pPr>
        <w:pStyle w:val="Heading3"/>
      </w:pPr>
      <w:r>
        <w:t xml:space="preserve">Two model classes bound the credible forecast horizon</w:t>
      </w:r>
    </w:p>
    <w:p>
      <w:pPr>
        <w:pStyle w:val="FirstParagraph"/>
      </w:pPr>
      <w:r>
        <w:t xml:space="preserve">We projected forward with both a mechanistic hazard model and a gradient-boosted</w:t>
      </w:r>
      <w:r>
        <w:t xml:space="preserve"> </w:t>
      </w:r>
      <w:r>
        <w:t xml:space="preserve">machine-learning model, trained on the same complete risk sets, under a four-model</w:t>
      </w:r>
      <w:r>
        <w:t xml:space="preserve"> </w:t>
      </w:r>
      <w:r>
        <w:t xml:space="preserve">CMIP6 ensemble (median warming +3.3 °C by 2050 and +4.8 °C by 2080 under SSP5-8.5)</w:t>
      </w:r>
      <w:r>
        <w:t xml:space="preserve"> </w:t>
      </w:r>
      <w:r>
        <w:t xml:space="preserve">with development-linked effort growth (Fig. 4a). The two classes agree early and</w:t>
      </w:r>
      <w:r>
        <w:t xml:space="preserve"> </w:t>
      </w:r>
      <w:r>
        <w:t xml:space="preserve">diverge sharply later: relative to 2024 the mechanistic model rises 2.9-fold by</w:t>
      </w:r>
      <w:r>
        <w:t xml:space="preserve"> </w:t>
      </w:r>
      <w:r>
        <w:t xml:space="preserve">2050 and 13-fold by 2080 under SSP2-4.5 (10.4- and 131-fold under SSP5-8.5), whereas</w:t>
      </w:r>
      <w:r>
        <w:t xml:space="preserve"> </w:t>
      </w:r>
      <w:r>
        <w:t xml:space="preserve">the machine-learning model saturates near 2.4-fold in every scenario.</w:t>
      </w:r>
    </w:p>
    <w:p>
      <w:pPr>
        <w:pStyle w:val="BodyText"/>
      </w:pPr>
      <w:r>
        <w:t xml:space="preserve">The divergence is explained precisely (Fig. 4b). The share of provinces whose</w:t>
      </w:r>
      <w:r>
        <w:t xml:space="preserve"> </w:t>
      </w:r>
      <w:r>
        <w:t xml:space="preserve">projected climate leaves the training range grows from 0 % in 2030 to 18 % by 2050</w:t>
      </w:r>
      <w:r>
        <w:t xml:space="preserve"> </w:t>
      </w:r>
      <w:r>
        <w:t xml:space="preserve">and 55 % by 2080 under SSP2-4.5, and reaches 48 % and 91 % under SSP5-8.5, with</w:t>
      </w:r>
      <w:r>
        <w:t xml:space="preserve"> </w:t>
      </w:r>
      <w:r>
        <w:t xml:space="preserve">effort leaving its training range in 100 % of provinces by 2080. The mechanistic</w:t>
      </w:r>
      <w:r>
        <w:t xml:space="preserve"> </w:t>
      </w:r>
      <w:r>
        <w:t xml:space="preserve">model extrapolates linearly on the complementary log-log scale and keeps rising — a</w:t>
      </w:r>
      <w:r>
        <w:t xml:space="preserve"> </w:t>
      </w:r>
      <w:r>
        <w:t xml:space="preserve">131-fold increase is almost certainly an over-extrapolation — while the tree</w:t>
      </w:r>
      <w:r>
        <w:t xml:space="preserve"> </w:t>
      </w:r>
      <w:r>
        <w:t xml:space="preserve">ensemble cannot extrapolate past its training splits and therefore flattens.</w:t>
      </w:r>
      <w:r>
        <w:t xml:space="preserve"> </w:t>
      </w:r>
      <w:r>
        <w:t xml:space="preserve">Neither behaviour is correct in isolation; together they</w:t>
      </w:r>
      <w:r>
        <w:t xml:space="preserve"> </w:t>
      </w:r>
      <w:r>
        <w:rPr>
          <w:b/>
          <w:bCs/>
        </w:rPr>
        <w:t xml:space="preserve">bound the credible</w:t>
      </w:r>
      <w:r>
        <w:rPr>
          <w:b/>
          <w:bCs/>
        </w:rPr>
        <w:t xml:space="preserve"> </w:t>
      </w:r>
      <w:r>
        <w:rPr>
          <w:b/>
          <w:bCs/>
        </w:rPr>
        <w:t xml:space="preserve">forecast horizon</w:t>
      </w:r>
      <w:r>
        <w:t xml:space="preserve">, which on this evidence reaches roughly 2050 under SSP2-4.5,</w:t>
      </w:r>
      <w:r>
        <w:t xml:space="preserve"> </w:t>
      </w:r>
      <w:r>
        <w:t xml:space="preserve">where fewer than a fifth of units have left the observed domain, and degrades</w:t>
      </w:r>
      <w:r>
        <w:t xml:space="preserve"> </w:t>
      </w:r>
      <w:r>
        <w:t xml:space="preserve">sharply thereafter. Rank agreement between the classes is moderate</w:t>
      </w:r>
      <w:r>
        <w:t xml:space="preserve"> </w:t>
      </w:r>
      <w:r>
        <w:t xml:space="preserve">(Spearman ρ ≈ 0.3–0.6).</w:t>
      </w:r>
    </w:p>
    <w:bookmarkEnd w:id="19"/>
    <w:bookmarkStart w:id="20" w:name="X533c0299d3ba22be4f811b96b712754d33c312a"/>
    <w:p>
      <w:pPr>
        <w:pStyle w:val="Heading3"/>
      </w:pPr>
      <w:r>
        <w:t xml:space="preserve">New records are displaced polewards, but the direction is taxon-structured</w:t>
      </w:r>
    </w:p>
    <w:p>
      <w:pPr>
        <w:pStyle w:val="FirstParagraph"/>
      </w:pPr>
      <w:r>
        <w:t xml:space="preserve">If effort-moderated visibility tracks a real redistribution, new records should not</w:t>
      </w:r>
      <w:r>
        <w:t xml:space="preserve"> </w:t>
      </w:r>
      <w:r>
        <w:t xml:space="preserve">fall randomly around historical ranges. Referencing 851 records (564 species) to</w:t>
      </w:r>
      <w:r>
        <w:t xml:space="preserve"> </w:t>
      </w:r>
      <w:r>
        <w:t xml:space="preserve">each species' BirdLife historical range, they are strongly directionally biased</w:t>
      </w:r>
      <w:r>
        <w:t xml:space="preserve"> </w:t>
      </w:r>
      <w:r>
        <w:t xml:space="preserve">(Fig. 5). Relative to range centroids the mean bearing is 55.7° (north-east;</w:t>
      </w:r>
      <w:r>
        <w:t xml:space="preserve"> </w:t>
      </w:r>
      <w:r>
        <w:t xml:space="preserve">concentration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= 0.270, Rayleigh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0.001) with median displacement 1,273 km;</w:t>
      </w:r>
      <w:r>
        <w:t xml:space="preserve"> </w:t>
      </w:r>
      <w:r>
        <w:t xml:space="preserve">relative to the nearest range edge the mean bearing is 21.1° (nearly due north;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= 0.355,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0.001) with median displacement 525 km. The edge-referenced</w:t>
      </w:r>
      <w:r>
        <w:t xml:space="preserve"> </w:t>
      </w:r>
      <w:r>
        <w:t xml:space="preserve">distribution is both tighter and more sharply northward — the cleaner signature of</w:t>
      </w:r>
      <w:r>
        <w:t xml:space="preserve"> </w:t>
      </w:r>
      <w:r>
        <w:t xml:space="preserve">range extension — with more than a fifth of all records falling in the single north</w:t>
      </w:r>
      <w:r>
        <w:t xml:space="preserve"> </w:t>
      </w:r>
      <w:r>
        <w:t xml:space="preserve">sector. Ninety-five per cent of the displacement signal is therefore consistent with</w:t>
      </w:r>
      <w:r>
        <w:t xml:space="preserve"> </w:t>
      </w:r>
      <w:r>
        <w:t xml:space="preserve">poleward redistribution, and 81 records (9.5 %) fall inside the historical range and</w:t>
      </w:r>
      <w:r>
        <w:t xml:space="preserve"> </w:t>
      </w:r>
      <w:r>
        <w:t xml:space="preserve">represent within-range detection rather than extension.</w:t>
      </w:r>
    </w:p>
    <w:p>
      <w:pPr>
        <w:pStyle w:val="BodyText"/>
      </w:pPr>
      <w:r>
        <w:t xml:space="preserve">The aggregate pattern conceals systematic taxonomic structure. Passerines</w:t>
      </w:r>
      <w:r>
        <w:t xml:space="preserve"> </w:t>
      </w:r>
      <w:r>
        <w:t xml:space="preserve">(</w:t>
      </w:r>
      <w:r>
        <w:rPr>
          <w:i/>
          <w:iCs/>
        </w:rPr>
        <w:t xml:space="preserve">n</w:t>
      </w:r>
      <w:r>
        <w:t xml:space="preserve"> </w:t>
      </w:r>
      <w:r>
        <w:t xml:space="preserve">= 465) shift east-north-east (66.0°,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= 0.380,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0.001) and raptors</w:t>
      </w:r>
      <w:r>
        <w:t xml:space="preserve"> </w:t>
      </w:r>
      <w:r>
        <w:t xml:space="preserve">north-east (36.5°,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0.021), whereas shorebirds trend north-west (323.5°,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0.040) and waterfowl are displaced</w:t>
      </w:r>
      <w:r>
        <w:t xml:space="preserve"> </w:t>
      </w:r>
      <w:r>
        <w:rPr>
          <w:i/>
          <w:iCs/>
        </w:rPr>
        <w:t xml:space="preserve">south-west</w:t>
      </w:r>
      <w:r>
        <w:t xml:space="preserve"> </w:t>
      </w:r>
      <w:r>
        <w:t xml:space="preserve">(196.6°,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0.022) and by</w:t>
      </w:r>
      <w:r>
        <w:t xml:space="preserve"> </w:t>
      </w:r>
      <w:r>
        <w:t xml:space="preserve">the largest distances of any order (median 2,169 km from the centroid, versus</w:t>
      </w:r>
      <w:r>
        <w:t xml:space="preserve"> </w:t>
      </w:r>
      <w:r>
        <w:t xml:space="preserve">1,190 km for passerines). A single "poleward" summary would therefore misdescribe</w:t>
      </w:r>
      <w:r>
        <w:t xml:space="preserve"> </w:t>
      </w:r>
      <w:r>
        <w:t xml:space="preserve">almost half the orders: land birds expand along breeding-range margins while</w:t>
      </w:r>
      <w:r>
        <w:t xml:space="preserve"> </w:t>
      </w:r>
      <w:r>
        <w:t xml:space="preserve">waterbird records accumulate along flyways and toward wintering grounds.</w:t>
      </w:r>
    </w:p>
    <w:bookmarkEnd w:id="20"/>
    <w:bookmarkEnd w:id="21"/>
    <w:bookmarkStart w:id="22" w:name="discussion"/>
    <w:p>
      <w:pPr>
        <w:pStyle w:val="Heading2"/>
      </w:pPr>
      <w:r>
        <w:t xml:space="preserve">Discussion</w:t>
      </w:r>
    </w:p>
    <w:p>
      <w:pPr>
        <w:pStyle w:val="FirstParagraph"/>
      </w:pPr>
      <w:r>
        <w:t xml:space="preserve">Survey effort does not simply add records or scale them up; it conditions whether</w:t>
      </w:r>
      <w:r>
        <w:t xml:space="preserve"> </w:t>
      </w:r>
      <w:r>
        <w:t xml:space="preserve">climate-driven change is recorded at all. On complete risk sets the</w:t>
      </w:r>
      <w:r>
        <w:t xml:space="preserve"> </w:t>
      </w:r>
      <w:r>
        <w:t xml:space="preserve">climate-by-effort interaction is positive, threshold-invariant and decisively</w:t>
      </w:r>
      <w:r>
        <w:t xml:space="preserve"> </w:t>
      </w:r>
      <w:r>
        <w:t xml:space="preserve">favoured over both the additive and the offset formulation, and it survives</w:t>
      </w:r>
      <w:r>
        <w:t xml:space="preserve"> </w:t>
      </w:r>
      <w:r>
        <w:t xml:space="preserve">measuring effort a year before the event. New distribution records are therefore</w:t>
      </w:r>
      <w:r>
        <w:t xml:space="preserve"> </w:t>
      </w:r>
      <w:r>
        <w:t xml:space="preserve">best understood as effort-moderated visibility events: ecological information</w:t>
      </w:r>
      <w:r>
        <w:t xml:space="preserve"> </w:t>
      </w:r>
      <w:r>
        <w:t xml:space="preserve">filtered through an observation process that varies by orders of magnitude across</w:t>
      </w:r>
      <w:r>
        <w:t xml:space="preserve"> </w:t>
      </w:r>
      <w:r>
        <w:t xml:space="preserve">space and time. High exposure without sufficient effort stays invisible; high effort</w:t>
      </w:r>
      <w:r>
        <w:t xml:space="preserve"> </w:t>
      </w:r>
      <w:r>
        <w:t xml:space="preserve">in exposed places converts redistribution into evidence. Treating effort as a</w:t>
      </w:r>
      <w:r>
        <w:t xml:space="preserve"> </w:t>
      </w:r>
      <w:r>
        <w:t xml:space="preserve">nuisance to be subtracted — the field's default — mis-specifies the</w:t>
      </w:r>
      <w:r>
        <w:t xml:space="preserve"> </w:t>
      </w:r>
      <w:r>
        <w:t xml:space="preserve">record-generating process in the direction that biases range-shift inference toward</w:t>
      </w:r>
      <w:r>
        <w:t xml:space="preserve"> </w:t>
      </w:r>
      <w:r>
        <w:t xml:space="preserve">well-surveyed landscapes.</w:t>
      </w:r>
    </w:p>
    <w:p>
      <w:pPr>
        <w:pStyle w:val="BodyText"/>
      </w:pPr>
      <w:r>
        <w:t xml:space="preserve">The deviance partition sharpens this into a quantitative claim: effort alone</w:t>
      </w:r>
      <w:r>
        <w:t xml:space="preserve"> </w:t>
      </w:r>
      <w:r>
        <w:t xml:space="preserve">accounts for about four fifths of what the model explains, climate alone for under a</w:t>
      </w:r>
      <w:r>
        <w:t xml:space="preserve"> </w:t>
      </w:r>
      <w:r>
        <w:t xml:space="preserve">twentieth, and the interaction for one sixth to nearly one third depending on the</w:t>
      </w:r>
      <w:r>
        <w:t xml:space="preserve"> </w:t>
      </w:r>
      <w:r>
        <w:t xml:space="preserve">effort proxy. Read carelessly, the dominance of effort might suggest that new</w:t>
      </w:r>
      <w:r>
        <w:t xml:space="preserve"> </w:t>
      </w:r>
      <w:r>
        <w:t xml:space="preserve">records carry little ecological signal. Read correctly, it says that the ecological</w:t>
      </w:r>
      <w:r>
        <w:t xml:space="preserve"> </w:t>
      </w:r>
      <w:r>
        <w:t xml:space="preserve">signal is</w:t>
      </w:r>
      <w:r>
        <w:t xml:space="preserve"> </w:t>
      </w:r>
      <w:r>
        <w:rPr>
          <w:i/>
          <w:iCs/>
        </w:rPr>
        <w:t xml:space="preserve">conditional</w:t>
      </w:r>
      <w:r>
        <w:t xml:space="preserve">: climate becomes visible in the data only in combination</w:t>
      </w:r>
      <w:r>
        <w:t xml:space="preserve"> </w:t>
      </w:r>
      <w:r>
        <w:t xml:space="preserve">with observation, which is precisely why the interaction — not the climate main</w:t>
      </w:r>
      <w:r>
        <w:t xml:space="preserve"> </w:t>
      </w:r>
      <w:r>
        <w:t xml:space="preserve">effect — is where the biology appears. The contrast with tree-ensemble importance</w:t>
      </w:r>
      <w:r>
        <w:t xml:space="preserve"> </w:t>
      </w:r>
      <w:r>
        <w:t xml:space="preserve">reinforces the point, because effort's contribution materialises only once species</w:t>
      </w:r>
      <w:r>
        <w:t xml:space="preserve"> </w:t>
      </w:r>
      <w:r>
        <w:t xml:space="preserve">identity and place are conditioned on.</w:t>
      </w:r>
    </w:p>
    <w:p>
      <w:pPr>
        <w:pStyle w:val="BodyText"/>
      </w:pPr>
      <w:r>
        <w:t xml:space="preserve">That the interaction runs specifically through thermal anomalies, and not through</w:t>
      </w:r>
      <w:r>
        <w:t xml:space="preserve"> </w:t>
      </w:r>
      <w:r>
        <w:t xml:space="preserve">climate velocity, exposure or warming rate, is informative in two ways. Empirically</w:t>
      </w:r>
      <w:r>
        <w:t xml:space="preserve"> </w:t>
      </w:r>
      <w:r>
        <w:t xml:space="preserve">it identifies the channel: interannual thermal departures, not long-run</w:t>
      </w:r>
      <w:r>
        <w:t xml:space="preserve"> </w:t>
      </w:r>
      <w:r>
        <w:t xml:space="preserve">climate-change indices, are what interact with observation to generate records.</w:t>
      </w:r>
      <w:r>
        <w:t xml:space="preserve"> </w:t>
      </w:r>
      <w:r>
        <w:t xml:space="preserve">Methodologically it warns that "climate" is not interchangeable across proxies in</w:t>
      </w:r>
      <w:r>
        <w:t xml:space="preserve"> </w:t>
      </w:r>
      <w:r>
        <w:t xml:space="preserve">detection-aware models — a study choosing velocity or exposure as its single</w:t>
      </w:r>
      <w:r>
        <w:t xml:space="preserve"> </w:t>
      </w:r>
      <w:r>
        <w:t xml:space="preserve">climate axis would have concluded, wrongly, that no interaction exists. The</w:t>
      </w:r>
      <w:r>
        <w:t xml:space="preserve"> </w:t>
      </w:r>
      <w:r>
        <w:t xml:space="preserve">collinearity we document within the proxy set makes the same point from the other</w:t>
      </w:r>
      <w:r>
        <w:t xml:space="preserve"> </w:t>
      </w:r>
      <w:r>
        <w:t xml:space="preserve">side: apparent replication across metric names can be a single axis in disguise.</w:t>
      </w:r>
    </w:p>
    <w:p>
      <w:pPr>
        <w:pStyle w:val="BodyText"/>
      </w:pPr>
      <w:r>
        <w:t xml:space="preserve">The interaction-versus-offset comparison is a reusable instrument. Much of</w:t>
      </w:r>
      <w:r>
        <w:t xml:space="preserve"> </w:t>
      </w:r>
      <w:r>
        <w:t xml:space="preserve">biodiversity informatics corrects for effort with a covariate or offset and then</w:t>
      </w:r>
      <w:r>
        <w:t xml:space="preserve"> </w:t>
      </w:r>
      <w:r>
        <w:t xml:space="preserve">proceeds as though the climate signal has been cleansed. Our result shows this step</w:t>
      </w:r>
      <w:r>
        <w:t xml:space="preserve"> </w:t>
      </w:r>
      <w:r>
        <w:t xml:space="preserve">is a testable hypothesis rather than settled procedure: where the offset model loses</w:t>
      </w:r>
      <w:r>
        <w:t xml:space="preserve"> </w:t>
      </w:r>
      <w:r>
        <w:t xml:space="preserve">decisively, effort is doing more than scaling, and the "corrected" signal remains</w:t>
      </w:r>
      <w:r>
        <w:t xml:space="preserve"> </w:t>
      </w:r>
      <w:r>
        <w:t xml:space="preserve">conditional on observation intensity. The test is inexpensive and should accompany</w:t>
      </w:r>
      <w:r>
        <w:t xml:space="preserve"> </w:t>
      </w:r>
      <w:r>
        <w:t xml:space="preserve">any effort-aware analysis of occurrence data.</w:t>
      </w:r>
    </w:p>
    <w:p>
      <w:pPr>
        <w:pStyle w:val="BodyText"/>
      </w:pPr>
      <w:r>
        <w:t xml:space="preserve">Life-history structure adds nuance without undermining generality. Effort moderation</w:t>
      </w:r>
      <w:r>
        <w:t xml:space="preserve"> </w:t>
      </w:r>
      <w:r>
        <w:t xml:space="preserve">appears in residents, partial migrants and long-distance migrants alike, and is</w:t>
      </w:r>
      <w:r>
        <w:t xml:space="preserve"> </w:t>
      </w:r>
      <w:r>
        <w:t xml:space="preserve">strongest in long-distance migrants, whose occurrences accumulate where observation</w:t>
      </w:r>
      <w:r>
        <w:t xml:space="preserve"> </w:t>
      </w:r>
      <w:r>
        <w:t xml:space="preserve">is dense. That the truncated risk set reversed this ordering is a caution about</w:t>
      </w:r>
      <w:r>
        <w:t xml:space="preserve"> </w:t>
      </w:r>
      <w:r>
        <w:t xml:space="preserve">species filtering: conclusions about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taxa show a detection-mediated climate</w:t>
      </w:r>
      <w:r>
        <w:t xml:space="preserve"> </w:t>
      </w:r>
      <w:r>
        <w:t xml:space="preserve">signal are far more sensitive to risk-set construction than the existence of the</w:t>
      </w:r>
      <w:r>
        <w:t xml:space="preserve"> </w:t>
      </w:r>
      <w:r>
        <w:t xml:space="preserve">signal itself.</w:t>
      </w:r>
    </w:p>
    <w:p>
      <w:pPr>
        <w:pStyle w:val="BodyText"/>
      </w:pPr>
      <w:r>
        <w:t xml:space="preserve">The two model classes together define where forecasting stops being defensible.</w:t>
      </w:r>
      <w:r>
        <w:t xml:space="preserve"> </w:t>
      </w:r>
      <w:r>
        <w:t xml:space="preserve">Mechanistic extrapolation and machine-learning saturation are not competing</w:t>
      </w:r>
      <w:r>
        <w:t xml:space="preserve"> </w:t>
      </w:r>
      <w:r>
        <w:t xml:space="preserve">estimates of the same quantity; they are the two failure modes that bracket the</w:t>
      </w:r>
      <w:r>
        <w:t xml:space="preserve"> </w:t>
      </w:r>
      <w:r>
        <w:t xml:space="preserve">truth once covariates leave the observed domain. Reporting both, alongside the</w:t>
      </w:r>
      <w:r>
        <w:t xml:space="preserve"> </w:t>
      </w:r>
      <w:r>
        <w:t xml:space="preserve">fraction of units outside the training range, converts an unfalsifiable</w:t>
      </w:r>
      <w:r>
        <w:t xml:space="preserve"> </w:t>
      </w:r>
      <w:r>
        <w:t xml:space="preserve">century-scale projection into a bounded near-term one. On this evidence, projections</w:t>
      </w:r>
      <w:r>
        <w:t xml:space="preserve"> </w:t>
      </w:r>
      <w:r>
        <w:t xml:space="preserve">to mid-century under moderate emissions are supportable; projections to 2080,</w:t>
      </w:r>
      <w:r>
        <w:t xml:space="preserve"> </w:t>
      </w:r>
      <w:r>
        <w:t xml:space="preserve">especially under high emissions and rapid monitoring growth, are not.</w:t>
      </w:r>
    </w:p>
    <w:p>
      <w:pPr>
        <w:pStyle w:val="BodyText"/>
      </w:pPr>
      <w:r>
        <w:t xml:space="preserve">The directional analysis supplies independent, effort-free corroboration. Nothing</w:t>
      </w:r>
      <w:r>
        <w:t xml:space="preserve"> </w:t>
      </w:r>
      <w:r>
        <w:t xml:space="preserve">in the bearing of a record relative to its species' historical range depends on the</w:t>
      </w:r>
      <w:r>
        <w:t xml:space="preserve"> </w:t>
      </w:r>
      <w:r>
        <w:t xml:space="preserve">hazard model, yet records fall north-east of range centroids and almost due north of</w:t>
      </w:r>
      <w:r>
        <w:t xml:space="preserve"> </w:t>
      </w:r>
      <w:r>
        <w:t xml:space="preserve">range edges, with highly significant angular concentration. That the effort-moderated</w:t>
      </w:r>
      <w:r>
        <w:t xml:space="preserve"> </w:t>
      </w:r>
      <w:r>
        <w:t xml:space="preserve">hazard framework and the geometry of the records point the same way strengthens the</w:t>
      </w:r>
      <w:r>
        <w:t xml:space="preserve"> </w:t>
      </w:r>
      <w:r>
        <w:t xml:space="preserve">claim that new records carry a genuine redistribution signal rather than only an</w:t>
      </w:r>
      <w:r>
        <w:t xml:space="preserve"> </w:t>
      </w:r>
      <w:r>
        <w:t xml:space="preserve">observation signal. The taxonomic structure adds mechanism: passerines and raptors</w:t>
      </w:r>
      <w:r>
        <w:t xml:space="preserve"> </w:t>
      </w:r>
      <w:r>
        <w:t xml:space="preserve">behave as expected of breeding-range expansion, whereas waterfowl move south-west and</w:t>
      </w:r>
      <w:r>
        <w:t xml:space="preserve"> </w:t>
      </w:r>
      <w:r>
        <w:t xml:space="preserve">farthest, consistent with flyway geometry and wintering-ground redistribution rather</w:t>
      </w:r>
      <w:r>
        <w:t xml:space="preserve"> </w:t>
      </w:r>
      <w:r>
        <w:t xml:space="preserve">than poleward breeding expansion. Directional analyses that pool orders will average</w:t>
      </w:r>
      <w:r>
        <w:t xml:space="preserve"> </w:t>
      </w:r>
      <w:r>
        <w:t xml:space="preserve">these opposing signals toward zero.</w:t>
      </w:r>
    </w:p>
    <w:p>
      <w:pPr>
        <w:pStyle w:val="BodyText"/>
      </w:pPr>
      <w:r>
        <w:t xml:space="preserve">For monitoring under climate change, raw projected hazard is a poor guide to where</w:t>
      </w:r>
      <w:r>
        <w:t xml:space="preserve"> </w:t>
      </w:r>
      <w:r>
        <w:t xml:space="preserve">survey investment is most valuable. Projections concentrate future risk where</w:t>
      </w:r>
      <w:r>
        <w:t xml:space="preserve"> </w:t>
      </w:r>
      <w:r>
        <w:t xml:space="preserve">climatic exposure will become highly</w:t>
      </w:r>
      <w:r>
        <w:t xml:space="preserve"> </w:t>
      </w:r>
      <w:r>
        <w:rPr>
          <w:i/>
          <w:iCs/>
        </w:rPr>
        <w:t xml:space="preserve">visible</w:t>
      </w:r>
      <w:r>
        <w:t xml:space="preserve"> </w:t>
      </w:r>
      <w:r>
        <w:t xml:space="preserve">under existing and growing effort,</w:t>
      </w:r>
      <w:r>
        <w:t xml:space="preserve"> </w:t>
      </w:r>
      <w:r>
        <w:t xml:space="preserve">not necessarily where range change is most novel. Allocating effort there maximises</w:t>
      </w:r>
      <w:r>
        <w:t xml:space="preserve"> </w:t>
      </w:r>
      <w:r>
        <w:t xml:space="preserve">the rate of new records but adds little to what is already well observed. The</w:t>
      </w:r>
      <w:r>
        <w:t xml:space="preserve"> </w:t>
      </w:r>
      <w:r>
        <w:t xml:space="preserve">decision-relevant target is the opposite: units where high projected exposure meets</w:t>
      </w:r>
      <w:r>
        <w:t xml:space="preserve"> </w:t>
      </w:r>
      <w:r>
        <w:t xml:space="preserve">a current effort gap, where modest additional survey converts latent redistribution</w:t>
      </w:r>
      <w:r>
        <w:t xml:space="preserve"> </w:t>
      </w:r>
      <w:r>
        <w:t xml:space="preserve">into evidence and most reduces uncertainty. We therefore recommend prioritising on</w:t>
      </w:r>
      <w:r>
        <w:t xml:space="preserve"> </w:t>
      </w:r>
      <w:r>
        <w:t xml:space="preserve">the product of climatic exposure and effort deficit, and reporting forecast</w:t>
      </w:r>
      <w:r>
        <w:t xml:space="preserve"> </w:t>
      </w:r>
      <w:r>
        <w:t xml:space="preserve">uncertainty alongside point hazard.</w:t>
      </w:r>
    </w:p>
    <w:p>
      <w:pPr>
        <w:pStyle w:val="BodyText"/>
      </w:pPr>
      <w:r>
        <w:t xml:space="preserve">Boundaries remain. The interaction slope, though shown to vary by migratory</w:t>
      </w:r>
      <w:r>
        <w:t xml:space="preserve"> </w:t>
      </w:r>
      <w:r>
        <w:t xml:space="preserve">strategy, is coarsely structured; trait- and phylogeny-resolved slopes are a natural</w:t>
      </w:r>
      <w:r>
        <w:t xml:space="preserve"> </w:t>
      </w:r>
      <w:r>
        <w:t xml:space="preserve">next step. Effort, despite the lagged-effort defence, is not fully exogenous, and</w:t>
      </w:r>
      <w:r>
        <w:t xml:space="preserve"> </w:t>
      </w:r>
      <w:r>
        <w:t xml:space="preserve">slow-moving confounders that make a region both well-watched and climatically</w:t>
      </w:r>
      <w:r>
        <w:t xml:space="preserve"> </w:t>
      </w:r>
      <w:r>
        <w:t xml:space="preserve">dynamic cannot be excluded without an instrument or a quasi-experiment in effort</w:t>
      </w:r>
      <w:r>
        <w:t xml:space="preserve"> </w:t>
      </w:r>
      <w:r>
        <w:t xml:space="preserve">allocation. New records mix genuine colonisers with vagrants and taxonomic</w:t>
      </w:r>
      <w:r>
        <w:t xml:space="preserve"> </w:t>
      </w:r>
      <w:r>
        <w:t xml:space="preserve">revisions, a heterogeneity the threshold and migratory analyses expose but do not</w:t>
      </w:r>
      <w:r>
        <w:t xml:space="preserve"> </w:t>
      </w:r>
      <w:r>
        <w:t xml:space="preserve">fully model. Future surfaces inherit uncertainty from both climate projections and</w:t>
      </w:r>
      <w:r>
        <w:t xml:space="preserve"> </w:t>
      </w:r>
      <w:r>
        <w:t xml:space="preserve">assumed effort trajectories, and the ecological-grain map is a province-fitted</w:t>
      </w:r>
      <w:r>
        <w:t xml:space="preserve"> </w:t>
      </w:r>
      <w:r>
        <w:t xml:space="preserve">projection, not an independently estimated grid model.</w:t>
      </w:r>
    </w:p>
    <w:p>
      <w:pPr>
        <w:pStyle w:val="BodyText"/>
      </w:pPr>
      <w:r>
        <w:t xml:space="preserve">New species records will continue to accumulate, faster than ever, as observation</w:t>
      </w:r>
      <w:r>
        <w:t xml:space="preserve"> </w:t>
      </w:r>
      <w:r>
        <w:t xml:space="preserve">expands. Read as effort-moderated visibility events rather than as direct ecological</w:t>
      </w:r>
      <w:r>
        <w:t xml:space="preserve"> </w:t>
      </w:r>
      <w:r>
        <w:t xml:space="preserve">signals, they become both more interpretable and more useful: a basis for separating</w:t>
      </w:r>
      <w:r>
        <w:t xml:space="preserve"> </w:t>
      </w:r>
      <w:r>
        <w:t xml:space="preserve">biodiversity redistribution from observation bias, and for designing monitoring that</w:t>
      </w:r>
      <w:r>
        <w:t xml:space="preserve"> </w:t>
      </w:r>
      <w:r>
        <w:t xml:space="preserve">learns most where it is currently blindest.</w:t>
      </w:r>
    </w:p>
    <w:bookmarkEnd w:id="22"/>
    <w:bookmarkStart w:id="32" w:name="methods"/>
    <w:p>
      <w:pPr>
        <w:pStyle w:val="Heading2"/>
      </w:pPr>
      <w:r>
        <w:t xml:space="preserve">Methods</w:t>
      </w:r>
    </w:p>
    <w:bookmarkStart w:id="23" w:name="study-system-and-response-variable"/>
    <w:p>
      <w:pPr>
        <w:pStyle w:val="Heading3"/>
      </w:pPr>
      <w:r>
        <w:t xml:space="preserve">Study system and response variable</w:t>
      </w:r>
    </w:p>
    <w:p>
      <w:pPr>
        <w:pStyle w:val="FirstParagraph"/>
      </w:pPr>
      <w:r>
        <w:t xml:space="preserve">The study covered 33 provincial units of mainland China, 2002–2024. The response was</w:t>
      </w:r>
      <w:r>
        <w:t xml:space="preserve"> </w:t>
      </w:r>
      <w:r>
        <w:t xml:space="preserve">the first recorded arrival of a species in a province and year, encoded as a binary</w:t>
      </w:r>
      <w:r>
        <w:t xml:space="preserve"> </w:t>
      </w:r>
      <w:r>
        <w:t xml:space="preserve">event in a discrete-time risk set; once a species records its first arrival in a</w:t>
      </w:r>
      <w:r>
        <w:t xml:space="preserve"> </w:t>
      </w:r>
      <w:r>
        <w:t xml:space="preserve">unit, that unit leaves the species' risk set in later years.</w:t>
      </w:r>
    </w:p>
    <w:bookmarkEnd w:id="23"/>
    <w:bookmarkStart w:id="24" w:name="X4796a602046aac5df5a8d9c1bb711b66a34822e"/>
    <w:p>
      <w:pPr>
        <w:pStyle w:val="Heading3"/>
      </w:pPr>
      <w:r>
        <w:t xml:space="preserve">Complete risk sets and threshold sensitivity</w:t>
      </w:r>
    </w:p>
    <w:p>
      <w:pPr>
        <w:pStyle w:val="FirstParagraph"/>
      </w:pPr>
      <w:r>
        <w:t xml:space="preserve">Risk sets were rebuilt from source at three species-distribution-model binarisation</w:t>
      </w:r>
      <w:r>
        <w:t xml:space="preserve"> </w:t>
      </w:r>
      <w:r>
        <w:t xml:space="preserve">thresholds (50, 100, 200). At each threshold the candidate set comprised</w:t>
      </w:r>
      <w:r>
        <w:t xml:space="preserve"> </w:t>
      </w:r>
      <w:r>
        <w:t xml:space="preserve">species-province pairs with modelled potential presence and no prior record, plus</w:t>
      </w:r>
      <w:r>
        <w:t xml:space="preserve"> </w:t>
      </w:r>
      <w:r>
        <w:t xml:space="preserve">forced inclusion of every pair with an observed 2002–2024 event (an observed record</w:t>
      </w:r>
      <w:r>
        <w:t xml:space="preserve"> </w:t>
      </w:r>
      <w:r>
        <w:t xml:space="preserve">being empirical evidence that overrides the model prior), restricted to the union of</w:t>
      </w:r>
      <w:r>
        <w:t xml:space="preserve"> </w:t>
      </w:r>
      <w:r>
        <w:t xml:space="preserve">species modelled by the two source distribution-model projects. Candidates were</w:t>
      </w:r>
      <w:r>
        <w:t xml:space="preserve"> </w:t>
      </w:r>
      <w:r>
        <w:t xml:space="preserve">expanded over years and censored after first arrival. No complete-case truncation or</w:t>
      </w:r>
      <w:r>
        <w:t xml:space="preserve"> </w:t>
      </w:r>
      <w:r>
        <w:t xml:space="preserve">case-control subsampling was applied at any stage; the only exclusions were rows</w:t>
      </w:r>
      <w:r>
        <w:t xml:space="preserve"> </w:t>
      </w:r>
      <w:r>
        <w:t xml:space="preserve">lacking the headline climate or effort covariate.</w:t>
      </w:r>
    </w:p>
    <w:bookmarkEnd w:id="24"/>
    <w:bookmarkStart w:id="25" w:name="climate-and-effort-proxies"/>
    <w:p>
      <w:pPr>
        <w:pStyle w:val="Heading3"/>
      </w:pPr>
      <w:r>
        <w:t xml:space="preserve">Climate and effort proxies</w:t>
      </w:r>
    </w:p>
    <w:p>
      <w:pPr>
        <w:pStyle w:val="FirstParagraph"/>
      </w:pPr>
      <w:r>
        <w:t xml:space="preserve">Nine climate proxies were evaluated: temperature and precipitation anomalies and</w:t>
      </w:r>
      <w:r>
        <w:t xml:space="preserve"> </w:t>
      </w:r>
      <w:r>
        <w:t xml:space="preserve">gradients, climate velocity, precipitation velocity, climate exposure, warming rate</w:t>
      </w:r>
      <w:r>
        <w:t xml:space="preserve"> </w:t>
      </w:r>
      <w:r>
        <w:t xml:space="preserve">and Mahalanobis climate displacement (derived from WorldClim 2.1 and CHELSA</w:t>
      </w:r>
      <w:r>
        <w:t xml:space="preserve"> </w:t>
      </w:r>
      <w:r>
        <w:t xml:space="preserve">v2.1)⁶,⁷. Pairwise collinearity was audited and is reported. Grid-native</w:t>
      </w:r>
      <w:r>
        <w:t xml:space="preserve"> </w:t>
      </w:r>
      <w:r>
        <w:t xml:space="preserve">time-varying temperature anomaly was computed per cell from CRU TS 4.09 monthly data</w:t>
      </w:r>
      <w:r>
        <w:t xml:space="preserve"> </w:t>
      </w:r>
      <w:r>
        <w:t xml:space="preserve">(2002–2024)⁸. Five effort proxies were evaluated: record counts, observer visits</w:t>
      </w:r>
      <w:r>
        <w:t xml:space="preserve"> </w:t>
      </w:r>
      <w:r>
        <w:t xml:space="preserve">(headline), observers, birding-days and a principal-component composite,</w:t>
      </w:r>
      <w:r>
        <w:t xml:space="preserve"> </w:t>
      </w:r>
      <w:r>
        <w:t xml:space="preserve">standardised within year; for the offset model effort entered on the raw log-rate</w:t>
      </w:r>
      <w:r>
        <w:t xml:space="preserve"> </w:t>
      </w:r>
      <w:r>
        <w:t xml:space="preserve">scale. Grid and fine-scale effort came from the merged eBird/GBIF and China</w:t>
      </w:r>
      <w:r>
        <w:t xml:space="preserve"> </w:t>
      </w:r>
      <w:r>
        <w:t xml:space="preserve">Bird-Watching panel⁵.</w:t>
      </w:r>
    </w:p>
    <w:bookmarkEnd w:id="25"/>
    <w:bookmarkStart w:id="26" w:name="hazard-models-and-decomposition"/>
    <w:p>
      <w:pPr>
        <w:pStyle w:val="Heading3"/>
      </w:pPr>
      <w:r>
        <w:t xml:space="preserve">Hazard models and decomposition</w:t>
      </w:r>
    </w:p>
    <w:p>
      <w:pPr>
        <w:pStyle w:val="FirstParagraph"/>
      </w:pPr>
      <w:r>
        <w:t xml:space="preserve">Discrete-time complementary log-log hazard models were fitted in glmmTMB⁹ with</w:t>
      </w:r>
      <w:r>
        <w:t xml:space="preserve"> </w:t>
      </w:r>
      <w:r>
        <w:t xml:space="preserve">crossed random intercepts for species and province: M0 (null), M1 (effort),</w:t>
      </w:r>
      <w:r>
        <w:t xml:space="preserve"> </w:t>
      </w:r>
      <w:r>
        <w:t xml:space="preserve">M2 (climate), M3 (climate + effort), M4 (climate × effort) and M5 (climate +</w:t>
      </w:r>
      <w:r>
        <w:t xml:space="preserve"> </w:t>
      </w:r>
      <w:r>
        <w:t xml:space="preserve">raw-effort offset). We report hazard ratios with 95 % confidence intervals,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AIC differences. Endogeneity was probed by refitting M4 with effort</w:t>
      </w:r>
      <w:r>
        <w:t xml:space="preserve"> </w:t>
      </w:r>
      <w:r>
        <w:t xml:space="preserve">lagged one year at the province-year level; trait dependence by refitting separately</w:t>
      </w:r>
      <w:r>
        <w:t xml:space="preserve"> </w:t>
      </w:r>
      <w:r>
        <w:t xml:space="preserve">by migratory strategy. Explained deviance was partitioned from the ladder</w:t>
      </w:r>
      <w:r>
        <w:t xml:space="preserve"> </w:t>
      </w:r>
      <w:r>
        <w:t xml:space="preserve">log-likelihoods into unique effort (M2 → M3), unique climate (M1 → M3), shared and</w:t>
      </w:r>
      <w:r>
        <w:t xml:space="preserve"> </w:t>
      </w:r>
      <w:r>
        <w:t xml:space="preserve">interaction increment (M3 → M4) components, with McFadden</w:t>
      </w:r>
      <w:r>
        <w:t xml:space="preserve"> </w:t>
      </w:r>
      <w:r>
        <w:rPr>
          <w:i/>
          <w:iCs/>
        </w:rPr>
        <w:t xml:space="preserve">R</w:t>
      </w:r>
      <w:r>
        <w:t xml:space="preserve">² relative to M0;</w:t>
      </w:r>
      <w:r>
        <w:t xml:space="preserve"> </w:t>
      </w:r>
      <w:r>
        <w:t xml:space="preserve">marginal and conditional</w:t>
      </w:r>
      <w:r>
        <w:t xml:space="preserve"> </w:t>
      </w:r>
      <w:r>
        <w:rPr>
          <w:i/>
          <w:iCs/>
        </w:rPr>
        <w:t xml:space="preserve">R</w:t>
      </w:r>
      <w:r>
        <w:t xml:space="preserve">² followed a Nakagawa-style decomposition of fixed,</w:t>
      </w:r>
      <w:r>
        <w:t xml:space="preserve"> </w:t>
      </w:r>
      <w:r>
        <w:t xml:space="preserve">random and distribution-specific variance. Relative importance used random-forest</w:t>
      </w:r>
      <w:r>
        <w:t xml:space="preserve"> </w:t>
      </w:r>
      <w:r>
        <w:t xml:space="preserve">permutation importance (probability forest with class weights) and gradient-boosting</w:t>
      </w:r>
      <w:r>
        <w:t xml:space="preserve"> </w:t>
      </w:r>
      <w:r>
        <w:t xml:space="preserve">gain on the same complete risk sets.</w:t>
      </w:r>
    </w:p>
    <w:bookmarkEnd w:id="26"/>
    <w:bookmarkStart w:id="27" w:name="prediction-and-projection"/>
    <w:p>
      <w:pPr>
        <w:pStyle w:val="Heading3"/>
      </w:pPr>
      <w:r>
        <w:t xml:space="preserve">Prediction and projection</w:t>
      </w:r>
    </w:p>
    <w:p>
      <w:pPr>
        <w:pStyle w:val="FirstParagraph"/>
      </w:pPr>
      <w:r>
        <w:t xml:space="preserve">Predictive performance was evaluated under three cross-validation regimes — random</w:t>
      </w:r>
      <w:r>
        <w:t xml:space="preserve"> </w:t>
      </w:r>
      <w:r>
        <w:t xml:space="preserve">(interpolation), temporal leave-future-out (forecast) and 250 km spatial-block</w:t>
      </w:r>
      <w:r>
        <w:t xml:space="preserve"> </w:t>
      </w:r>
      <w:r>
        <w:t xml:space="preserve">(extrapolation)¹⁰ — with area under the curve computed from the Mann–Whitney</w:t>
      </w:r>
      <w:r>
        <w:t xml:space="preserve"> </w:t>
      </w:r>
      <w:r>
        <w:t xml:space="preserve">statistic. Future climate used a four-GCM CMIP6 ensemble (ACCESS-CM2,</w:t>
      </w:r>
      <w:r>
        <w:t xml:space="preserve"> </w:t>
      </w:r>
      <w:r>
        <w:t xml:space="preserve">MPI-ESM1-2-HR, MIROC6, UKESM1-0-LL) under SSP2-4.5 and SSP5-8.5 for 2030, 2050 and</w:t>
      </w:r>
      <w:r>
        <w:t xml:space="preserve"> </w:t>
      </w:r>
      <w:r>
        <w:t xml:space="preserve">2080¹²; effort futures used development-linked growth scenarios (+0.3 and +0.6</w:t>
      </w:r>
      <w:r>
        <w:t xml:space="preserve"> </w:t>
      </w:r>
      <w:r>
        <w:t xml:space="preserve">standard deviations per decade). Projections were made with both the mechanistic</w:t>
      </w:r>
      <w:r>
        <w:t xml:space="preserve"> </w:t>
      </w:r>
      <w:r>
        <w:t xml:space="preserve">hazard model and a gradient-boosted model, and we report, for every scenario, the</w:t>
      </w:r>
      <w:r>
        <w:t xml:space="preserve"> </w:t>
      </w:r>
      <w:r>
        <w:t xml:space="preserve">share of units whose covariates leave the training range. Maps use the official</w:t>
      </w:r>
      <w:r>
        <w:t xml:space="preserve"> </w:t>
      </w:r>
      <w:r>
        <w:t xml:space="preserve">GS(2019)1822 basemap and render the national boundary and the South China Sea</w:t>
      </w:r>
      <w:r>
        <w:t xml:space="preserve"> </w:t>
      </w:r>
      <w:r>
        <w:t xml:space="preserve">nine-dash line.</w:t>
      </w:r>
    </w:p>
    <w:bookmarkEnd w:id="27"/>
    <w:bookmarkStart w:id="28" w:name="directional-and-displacement-analysis"/>
    <w:p>
      <w:pPr>
        <w:pStyle w:val="Heading3"/>
      </w:pPr>
      <w:r>
        <w:t xml:space="preserve">Directional and displacement analysis</w:t>
      </w:r>
    </w:p>
    <w:p>
      <w:pPr>
        <w:pStyle w:val="FirstParagraph"/>
      </w:pPr>
      <w:r>
        <w:t xml:space="preserve">New-record coordinates were referenced to each species' BirdLife (Birds of the World</w:t>
      </w:r>
      <w:r>
        <w:t xml:space="preserve"> </w:t>
      </w:r>
      <w:r>
        <w:t xml:space="preserve">2024) historical range polygon. For every record we computed the bearing and</w:t>
      </w:r>
      <w:r>
        <w:t xml:space="preserve"> </w:t>
      </w:r>
      <w:r>
        <w:t xml:space="preserve">great-circle distance to the range centroid and to the nearest point on the range</w:t>
      </w:r>
      <w:r>
        <w:t xml:space="preserve"> </w:t>
      </w:r>
      <w:r>
        <w:t xml:space="preserve">edge, retaining 851 records (564 species) with usable polygons. Bearings were binned</w:t>
      </w:r>
      <w:r>
        <w:t xml:space="preserve"> </w:t>
      </w:r>
      <w:r>
        <w:t xml:space="preserve">into 16 compass sectors for display and summarised with circular statistics: the mean</w:t>
      </w:r>
      <w:r>
        <w:t xml:space="preserve"> </w:t>
      </w:r>
      <w:r>
        <w:t xml:space="preserve">resultant direction, the concentration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and a Rayleigh test of angular uniformity.</w:t>
      </w:r>
      <w:r>
        <w:t xml:space="preserve"> </w:t>
      </w:r>
      <w:r>
        <w:t xml:space="preserve">Records falling inside the historical range have an edge distance of zero and were</w:t>
      </w:r>
      <w:r>
        <w:t xml:space="preserve"> </w:t>
      </w:r>
      <w:r>
        <w:t xml:space="preserve">retained and reported separately rather than discarded. Displacement distributions</w:t>
      </w:r>
      <w:r>
        <w:t xml:space="preserve"> </w:t>
      </w:r>
      <w:r>
        <w:t xml:space="preserve">were compared across taxonomic orders with at least 25 records.</w:t>
      </w:r>
    </w:p>
    <w:bookmarkEnd w:id="28"/>
    <w:bookmarkStart w:id="31" w:name="reproducibility"/>
    <w:p>
      <w:pPr>
        <w:pStyle w:val="Heading3"/>
      </w:pPr>
      <w:r>
        <w:t xml:space="preserve">Reproducibility</w:t>
      </w:r>
    </w:p>
    <w:p>
      <w:pPr>
        <w:pStyle w:val="FirstParagraph"/>
      </w:pPr>
      <w:r>
        <w:t xml:space="preserve">Analyses used R (glmmTMB, xgboost, ranger, blockCV, terra, sf, arrow) with versions</w:t>
      </w:r>
      <w:r>
        <w:t xml:space="preserve"> </w:t>
      </w:r>
      <w:r>
        <w:t xml:space="preserve">pinned in a lockfile; every reported value is traceable to a named result table.</w:t>
      </w:r>
      <w:r>
        <w:t xml:space="preserve"> </w:t>
      </w:r>
      <w:r>
        <w:t xml:space="preserve">Code and derived outputs are at</w:t>
      </w:r>
      <w:r>
        <w:t xml:space="preserve"> </w:t>
      </w:r>
      <w:hyperlink r:id="rId29">
        <w:r>
          <w:rPr>
            <w:rStyle w:val="Hyperlink"/>
          </w:rPr>
          <w:t xml:space="preserve">https://github.com/dingchenchen6/bird-hazard-complete-riskset</w:t>
        </w:r>
      </w:hyperlink>
      <w:r>
        <w:t xml:space="preserve"> </w:t>
      </w:r>
      <w:r>
        <w:t xml:space="preserve">(complete-risk-set</w:t>
      </w:r>
      <w:r>
        <w:t xml:space="preserve"> </w:t>
      </w:r>
      <w:r>
        <w:t xml:space="preserve">analysis suite) and</w:t>
      </w:r>
      <w:r>
        <w:t xml:space="preserve"> </w:t>
      </w:r>
      <w:hyperlink r:id="rId30">
        <w:r>
          <w:rPr>
            <w:rStyle w:val="Hyperlink"/>
          </w:rPr>
          <w:t xml:space="preserve">https://github.com/dingchenchen6/bird-hazard-effort-visibility</w:t>
        </w:r>
      </w:hyperlink>
      <w:r>
        <w:t xml:space="preserve"> </w:t>
      </w:r>
      <w:r>
        <w:t xml:space="preserve">(manuscript and main analysis).</w:t>
      </w:r>
    </w:p>
    <w:bookmarkEnd w:id="31"/>
    <w:bookmarkEnd w:id="32"/>
    <w:bookmarkStart w:id="33" w:name="data-availability"/>
    <w:p>
      <w:pPr>
        <w:pStyle w:val="Heading2"/>
      </w:pPr>
      <w:r>
        <w:t xml:space="preserve">Data availability</w:t>
      </w:r>
    </w:p>
    <w:p>
      <w:pPr>
        <w:pStyle w:val="FirstParagraph"/>
      </w:pPr>
      <w:r>
        <w:t xml:space="preserve">Derived covariate tables, model outputs and data dictionaries are in the project</w:t>
      </w:r>
      <w:r>
        <w:t xml:space="preserve"> </w:t>
      </w:r>
      <w:r>
        <w:t xml:space="preserve">repositories; non-sensitive products will be deposited at Zenodo on acceptance, with</w:t>
      </w:r>
      <w:r>
        <w:t xml:space="preserve"> </w:t>
      </w:r>
      <w:r>
        <w:t xml:space="preserve">licensed occurrence data shared under source-specific terms. Climate products are</w:t>
      </w:r>
      <w:r>
        <w:t xml:space="preserve"> </w:t>
      </w:r>
      <w:r>
        <w:t xml:space="preserve">public (WorldClim, CHELSA, CRU TS, CMIP6); the GS(2019)1822 basemap is from the</w:t>
      </w:r>
      <w:r>
        <w:t xml:space="preserve"> </w:t>
      </w:r>
      <w:r>
        <w:t xml:space="preserve">Ministry of Natural Resources of China.</w:t>
      </w:r>
    </w:p>
    <w:bookmarkEnd w:id="33"/>
    <w:bookmarkStart w:id="34" w:name="code-availability"/>
    <w:p>
      <w:pPr>
        <w:pStyle w:val="Heading2"/>
      </w:pPr>
      <w:r>
        <w:t xml:space="preserve">Code availability</w:t>
      </w:r>
    </w:p>
    <w:p>
      <w:pPr>
        <w:pStyle w:val="FirstParagraph"/>
      </w:pPr>
      <w:r>
        <w:t xml:space="preserve">Version-controlled R code, the renv lockfile and the analysis pipeline are at the</w:t>
      </w:r>
      <w:r>
        <w:t xml:space="preserve"> </w:t>
      </w:r>
      <w:r>
        <w:t xml:space="preserve">repositories above and will be archived at Zenodo on acceptance.</w:t>
      </w:r>
    </w:p>
    <w:bookmarkEnd w:id="34"/>
    <w:bookmarkStart w:id="35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Chen, I.-C. et al.</w:t>
      </w:r>
      <w: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rPr>
          <w:b/>
          <w:bCs/>
        </w:rPr>
        <w:t xml:space="preserve">333</w:t>
      </w:r>
      <w:r>
        <w:t xml:space="preserve">, 1024–1026 (2011).</w:t>
      </w:r>
    </w:p>
    <w:p>
      <w:pPr>
        <w:pStyle w:val="Compact"/>
        <w:numPr>
          <w:ilvl w:val="0"/>
          <w:numId w:val="1001"/>
        </w:numPr>
      </w:pPr>
      <w:r>
        <w:t xml:space="preserve">Lenoir, J. et al.</w:t>
      </w:r>
      <w:r>
        <w:t xml:space="preserve"> </w:t>
      </w:r>
      <w:r>
        <w:rPr>
          <w:i/>
          <w:iCs/>
        </w:rPr>
        <w:t xml:space="preserve">Nat. Ecol. Evol.</w:t>
      </w:r>
      <w:r>
        <w:t xml:space="preserve"> </w:t>
      </w:r>
      <w:r>
        <w:rPr>
          <w:b/>
          <w:bCs/>
        </w:rPr>
        <w:t xml:space="preserve">4</w:t>
      </w:r>
      <w:r>
        <w:t xml:space="preserve">, 1044–1059 (2020).</w:t>
      </w:r>
    </w:p>
    <w:p>
      <w:pPr>
        <w:pStyle w:val="Compact"/>
        <w:numPr>
          <w:ilvl w:val="0"/>
          <w:numId w:val="1001"/>
        </w:numPr>
      </w:pPr>
      <w:r>
        <w:t xml:space="preserve">Boakes, E. H. et al.</w:t>
      </w:r>
      <w:r>
        <w:t xml:space="preserve"> </w:t>
      </w:r>
      <w:r>
        <w:rPr>
          <w:i/>
          <w:iCs/>
        </w:rPr>
        <w:t xml:space="preserve">PLoS Biol.</w:t>
      </w:r>
      <w:r>
        <w:t xml:space="preserve"> </w:t>
      </w:r>
      <w:r>
        <w:rPr>
          <w:b/>
          <w:bCs/>
        </w:rPr>
        <w:t xml:space="preserve">8</w:t>
      </w:r>
      <w:r>
        <w:t xml:space="preserve">, e1000385 (2010).</w:t>
      </w:r>
    </w:p>
    <w:p>
      <w:pPr>
        <w:pStyle w:val="Compact"/>
        <w:numPr>
          <w:ilvl w:val="0"/>
          <w:numId w:val="1001"/>
        </w:numPr>
      </w:pPr>
      <w:r>
        <w:t xml:space="preserve">Isaac, N. J. B. et al.</w:t>
      </w:r>
      <w:r>
        <w:t xml:space="preserve"> </w:t>
      </w:r>
      <w:r>
        <w:rPr>
          <w:i/>
          <w:iCs/>
        </w:rPr>
        <w:t xml:space="preserve">Methods Ecol. Evol.</w:t>
      </w:r>
      <w:r>
        <w:t xml:space="preserve"> </w:t>
      </w:r>
      <w:r>
        <w:rPr>
          <w:b/>
          <w:bCs/>
        </w:rPr>
        <w:t xml:space="preserve">5</w:t>
      </w:r>
      <w:r>
        <w:t xml:space="preserve">, 1052–1060 (2014).</w:t>
      </w:r>
    </w:p>
    <w:p>
      <w:pPr>
        <w:pStyle w:val="Compact"/>
        <w:numPr>
          <w:ilvl w:val="0"/>
          <w:numId w:val="1001"/>
        </w:numPr>
      </w:pPr>
      <w:r>
        <w:t xml:space="preserve">Sullivan, B. L. et al.</w:t>
      </w:r>
      <w:r>
        <w:t xml:space="preserve"> </w:t>
      </w:r>
      <w:r>
        <w:rPr>
          <w:i/>
          <w:iCs/>
        </w:rPr>
        <w:t xml:space="preserve">Biol. Conserv.</w:t>
      </w:r>
      <w:r>
        <w:t xml:space="preserve"> </w:t>
      </w:r>
      <w:r>
        <w:rPr>
          <w:b/>
          <w:bCs/>
        </w:rPr>
        <w:t xml:space="preserve">169</w:t>
      </w:r>
      <w:r>
        <w:t xml:space="preserve">, 31–40 (2014).</w:t>
      </w:r>
    </w:p>
    <w:p>
      <w:pPr>
        <w:pStyle w:val="Compact"/>
        <w:numPr>
          <w:ilvl w:val="0"/>
          <w:numId w:val="1001"/>
        </w:numPr>
      </w:pPr>
      <w:r>
        <w:t xml:space="preserve">Fick, S. E. &amp; Hijmans, R. J.</w:t>
      </w:r>
      <w:r>
        <w:t xml:space="preserve"> </w:t>
      </w:r>
      <w:r>
        <w:rPr>
          <w:i/>
          <w:iCs/>
        </w:rPr>
        <w:t xml:space="preserve">Int. J. Climatol.</w:t>
      </w:r>
      <w:r>
        <w:t xml:space="preserve"> </w:t>
      </w:r>
      <w:r>
        <w:rPr>
          <w:b/>
          <w:bCs/>
        </w:rPr>
        <w:t xml:space="preserve">37</w:t>
      </w:r>
      <w:r>
        <w:t xml:space="preserve">, 4302–4315 (2017).</w:t>
      </w:r>
    </w:p>
    <w:p>
      <w:pPr>
        <w:pStyle w:val="Compact"/>
        <w:numPr>
          <w:ilvl w:val="0"/>
          <w:numId w:val="1001"/>
        </w:numPr>
      </w:pPr>
      <w:r>
        <w:t xml:space="preserve">Karger, D. N. et al.</w:t>
      </w:r>
      <w:r>
        <w:t xml:space="preserve"> </w:t>
      </w:r>
      <w:r>
        <w:rPr>
          <w:i/>
          <w:iCs/>
        </w:rPr>
        <w:t xml:space="preserve">Sci. Data</w:t>
      </w:r>
      <w:r>
        <w:t xml:space="preserve"> </w:t>
      </w:r>
      <w:r>
        <w:rPr>
          <w:b/>
          <w:bCs/>
        </w:rPr>
        <w:t xml:space="preserve">4</w:t>
      </w:r>
      <w:r>
        <w:t xml:space="preserve">, 170122 (2017).</w:t>
      </w:r>
    </w:p>
    <w:p>
      <w:pPr>
        <w:pStyle w:val="Compact"/>
        <w:numPr>
          <w:ilvl w:val="0"/>
          <w:numId w:val="1001"/>
        </w:numPr>
      </w:pPr>
      <w:r>
        <w:t xml:space="preserve">Harris, I. et al.</w:t>
      </w:r>
      <w:r>
        <w:t xml:space="preserve"> </w:t>
      </w:r>
      <w:r>
        <w:rPr>
          <w:i/>
          <w:iCs/>
        </w:rPr>
        <w:t xml:space="preserve">Sci. Data</w:t>
      </w:r>
      <w:r>
        <w:t xml:space="preserve"> </w:t>
      </w:r>
      <w:r>
        <w:rPr>
          <w:b/>
          <w:bCs/>
        </w:rPr>
        <w:t xml:space="preserve">7</w:t>
      </w:r>
      <w:r>
        <w:t xml:space="preserve">, 109 (2020).</w:t>
      </w:r>
    </w:p>
    <w:p>
      <w:pPr>
        <w:pStyle w:val="Compact"/>
        <w:numPr>
          <w:ilvl w:val="0"/>
          <w:numId w:val="1001"/>
        </w:numPr>
      </w:pPr>
      <w:r>
        <w:t xml:space="preserve">Brooks, M. E. et al.</w:t>
      </w:r>
      <w:r>
        <w:t xml:space="preserve"> </w:t>
      </w:r>
      <w:r>
        <w:rPr>
          <w:i/>
          <w:iCs/>
        </w:rPr>
        <w:t xml:space="preserve">R Journal</w:t>
      </w:r>
      <w:r>
        <w:t xml:space="preserve"> </w:t>
      </w:r>
      <w:r>
        <w:rPr>
          <w:b/>
          <w:bCs/>
        </w:rPr>
        <w:t xml:space="preserve">9</w:t>
      </w:r>
      <w:r>
        <w:t xml:space="preserve">, 378–400 (2017).</w:t>
      </w:r>
    </w:p>
    <w:p>
      <w:pPr>
        <w:pStyle w:val="Compact"/>
        <w:numPr>
          <w:ilvl w:val="0"/>
          <w:numId w:val="1001"/>
        </w:numPr>
      </w:pPr>
      <w:r>
        <w:t xml:space="preserve">Valavi, R. et al.</w:t>
      </w:r>
      <w:r>
        <w:t xml:space="preserve"> </w:t>
      </w:r>
      <w:r>
        <w:rPr>
          <w:i/>
          <w:iCs/>
        </w:rPr>
        <w:t xml:space="preserve">Methods Ecol. Evol.</w:t>
      </w:r>
      <w:r>
        <w:t xml:space="preserve"> </w:t>
      </w:r>
      <w:r>
        <w:rPr>
          <w:b/>
          <w:bCs/>
        </w:rPr>
        <w:t xml:space="preserve">10</w:t>
      </w:r>
      <w:r>
        <w:t xml:space="preserve">, 225–232 (2019).</w:t>
      </w:r>
    </w:p>
    <w:p>
      <w:pPr>
        <w:pStyle w:val="Compact"/>
        <w:numPr>
          <w:ilvl w:val="0"/>
          <w:numId w:val="1001"/>
        </w:numPr>
      </w:pPr>
      <w:r>
        <w:t xml:space="preserve">Loarie, S. R. et al.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rPr>
          <w:b/>
          <w:bCs/>
        </w:rPr>
        <w:t xml:space="preserve">462</w:t>
      </w:r>
      <w:r>
        <w:t xml:space="preserve">, 1052–1055 (2009).</w:t>
      </w:r>
    </w:p>
    <w:p>
      <w:pPr>
        <w:pStyle w:val="Compact"/>
        <w:numPr>
          <w:ilvl w:val="0"/>
          <w:numId w:val="1001"/>
        </w:numPr>
      </w:pPr>
      <w:r>
        <w:t xml:space="preserve">Eyring, V. et al.</w:t>
      </w:r>
      <w:r>
        <w:t xml:space="preserve"> </w:t>
      </w:r>
      <w:r>
        <w:rPr>
          <w:i/>
          <w:iCs/>
        </w:rPr>
        <w:t xml:space="preserve">Geosci. Model Dev.</w:t>
      </w:r>
      <w:r>
        <w:t xml:space="preserve"> </w:t>
      </w:r>
      <w:r>
        <w:rPr>
          <w:b/>
          <w:bCs/>
        </w:rPr>
        <w:t xml:space="preserve">9</w:t>
      </w:r>
      <w:r>
        <w:t xml:space="preserve">, 1937–1958 (2016).</w:t>
      </w:r>
    </w:p>
    <w:p>
      <w:pPr>
        <w:pStyle w:val="Compact"/>
        <w:numPr>
          <w:ilvl w:val="0"/>
          <w:numId w:val="1001"/>
        </w:numPr>
      </w:pPr>
      <w:r>
        <w:t xml:space="preserve">Openshaw, S.</w:t>
      </w:r>
      <w:r>
        <w:t xml:space="preserve"> </w:t>
      </w:r>
      <w:r>
        <w:rPr>
          <w:i/>
          <w:iCs/>
        </w:rPr>
        <w:t xml:space="preserve">The Modifiable Areal Unit Problem</w:t>
      </w:r>
      <w:r>
        <w:t xml:space="preserve"> </w:t>
      </w:r>
      <w:r>
        <w:t xml:space="preserve">(Geo Books, 1984).</w:t>
      </w:r>
    </w:p>
    <w:bookmarkEnd w:id="35"/>
    <w:bookmarkStart w:id="37" w:name="figures"/>
    <w:p>
      <w:pPr>
        <w:pStyle w:val="Heading2"/>
      </w:pPr>
      <w:r>
        <w:t xml:space="preserve">Figures</w:t>
      </w:r>
    </w:p>
    <w:p>
      <w:pPr>
        <w:pStyle w:val="FirstParagraph"/>
      </w:pPr>
      <w:r>
        <w:rPr>
          <w:b/>
          <w:bCs/>
        </w:rPr>
        <w:t xml:space="preserve">Fig. 1 | The interaction is threshold-invariant and runs through a thermal</w:t>
      </w:r>
      <w:r>
        <w:rPr>
          <w:b/>
          <w:bCs/>
        </w:rPr>
        <w:t xml:space="preserve"> </w:t>
      </w:r>
      <w:r>
        <w:rPr>
          <w:b/>
          <w:bCs/>
        </w:rPr>
        <w:t xml:space="preserve">channel.</w:t>
      </w:r>
      <w:r>
        <w:t xml:space="preserve"> </w:t>
      </w:r>
      <w:r>
        <w:rPr>
          <w:b/>
          <w:bCs/>
        </w:rPr>
        <w:t xml:space="preserve">a</w:t>
      </w:r>
      <w:r>
        <w:t xml:space="preserve">, Model ladder M0–M5 on the three complete risk sets under the headline effort</w:t>
      </w:r>
      <w:r>
        <w:t xml:space="preserve"> </w:t>
      </w:r>
      <w:r>
        <w:t xml:space="preserve">proxy; bars show ΔAIC relative to the best model. M4 (climate × effort) is best at</w:t>
      </w:r>
      <w:r>
        <w:t xml:space="preserve"> </w:t>
      </w:r>
      <w:r>
        <w:t xml:space="preserve">every threshold, beating the additive model M3 by 51–56 and the effort-as-offset</w:t>
      </w:r>
      <w:r>
        <w:t xml:space="preserve"> </w:t>
      </w:r>
      <w:r>
        <w:t xml:space="preserve">model M5 by 79–81; effort-only (M1, 62–68) far outperforms climate-only (M2,</w:t>
      </w:r>
      <w:r>
        <w:t xml:space="preserve"> </w:t>
      </w:r>
      <w:r>
        <w:t xml:space="preserve">317–337).</w:t>
      </w:r>
      <w:r>
        <w:t xml:space="preserve"> </w:t>
      </w:r>
      <w:r>
        <w:rPr>
          <w:b/>
          <w:bCs/>
        </w:rPr>
        <w:t xml:space="preserve">b</w:t>
      </w:r>
      <w:r>
        <w:t xml:space="preserve">, Interaction hazard ratio for all nine climate × five effort proxy</w:t>
      </w:r>
      <w:r>
        <w:t xml:space="preserve"> </w:t>
      </w:r>
      <w:r>
        <w:t xml:space="preserve">combinations at threshold 50, with threshold robustness for the three leading</w:t>
      </w:r>
      <w:r>
        <w:t xml:space="preserve"> </w:t>
      </w:r>
      <w:r>
        <w:t xml:space="preserve">climate proxies. Thermal anomaly/gradient (1.12–1.43) and precipitation anomaly</w:t>
      </w:r>
      <w:r>
        <w:t xml:space="preserve"> </w:t>
      </w:r>
      <w:r>
        <w:t xml:space="preserve">(1.05–1.23) interact with effort; climate-velocity, exposure and warming-rate</w:t>
      </w:r>
      <w:r>
        <w:t xml:space="preserve"> </w:t>
      </w:r>
      <w:r>
        <w:t xml:space="preserve">proxies do not (0.88–1.06). Collinear proxy pairs are annotated.</w:t>
      </w:r>
      <w:r>
        <w:t xml:space="preserve"> </w:t>
      </w: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Fig_A_model_ladder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Fig_B_proxy_matrix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Fig. 2 | Generality across life histories, and the roles of effort, climate and</w:t>
      </w:r>
      <w:r>
        <w:rPr>
          <w:b/>
          <w:bCs/>
        </w:rPr>
        <w:t xml:space="preserve"> </w:t>
      </w:r>
      <w:r>
        <w:rPr>
          <w:b/>
          <w:bCs/>
        </w:rPr>
        <w:t xml:space="preserve">their interaction.</w:t>
      </w:r>
      <w:r>
        <w:t xml:space="preserve"> </w:t>
      </w:r>
      <w:r>
        <w:rPr>
          <w:b/>
          <w:bCs/>
        </w:rPr>
        <w:t xml:space="preserve">a</w:t>
      </w:r>
      <w:r>
        <w:t xml:space="preserve">, Interaction hazard ratio by migratory strategy at all three thresholds; every</w:t>
      </w:r>
      <w:r>
        <w:t xml:space="preserve"> </w:t>
      </w:r>
      <w:r>
        <w:t xml:space="preserve">group is positive and significant, with long-distance migrants strongest</w:t>
      </w:r>
      <w:r>
        <w:t xml:space="preserve"> </w:t>
      </w:r>
      <w:r>
        <w:t xml:space="preserve">(1.325–1.354).</w:t>
      </w:r>
      <w:r>
        <w:t xml:space="preserve"> </w:t>
      </w:r>
      <w:r>
        <w:rPr>
          <w:b/>
          <w:bCs/>
        </w:rPr>
        <w:t xml:space="preserve">b</w:t>
      </w:r>
      <w:r>
        <w:t xml:space="preserve">, Partition of the deviance explained by M4: unique effort</w:t>
      </w:r>
      <w:r>
        <w:t xml:space="preserve"> </w:t>
      </w:r>
      <w:r>
        <w:t xml:space="preserve">~79 %, interaction 16 %, unique climate ~4 %, shared ~1 %, stable across thresholds.</w:t>
      </w:r>
      <w:r>
        <w:t xml:space="preserve"> </w:t>
      </w:r>
      <w:r>
        <w:rPr>
          <w:b/>
          <w:bCs/>
        </w:rPr>
        <w:t xml:space="preserve">c</w:t>
      </w:r>
      <w:r>
        <w:t xml:space="preserve">, Random-forest permutation and gradient-boosting importance on the same data,</w:t>
      </w:r>
      <w:r>
        <w:t xml:space="preserve"> </w:t>
      </w:r>
      <w:r>
        <w:t xml:space="preserve">which rank climate above effort — the opposite of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— because tree ensembles</w:t>
      </w:r>
      <w:r>
        <w:t xml:space="preserve"> </w:t>
      </w:r>
      <w:r>
        <w:t xml:space="preserve">lack the species and province random effects that condition the hazard model.</w:t>
      </w:r>
      <w:r>
        <w:t xml:space="preserve"> </w:t>
      </w: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Fig_C_migratory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Fig_D_variance_decomposition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Fig_E_relative_importance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Fig. 3 | Ecological-grain risk surface.</w:t>
      </w:r>
      <w:r>
        <w:t xml:space="preserve"> </w:t>
      </w:r>
      <w:r>
        <w:t xml:space="preserve">Province-fitted hazard relationship</w:t>
      </w:r>
      <w:r>
        <w:t xml:space="preserve"> </w:t>
      </w:r>
      <w:r>
        <w:t xml:space="preserve">applied to grid-native CRU temperature anomaly and merged survey effort at 100 km</w:t>
      </w:r>
      <w:r>
        <w:t xml:space="preserve"> </w:t>
      </w:r>
      <w:r>
        <w:t xml:space="preserve">(and 50 km), for the present and under CMIP6 warming with SSP-differentiated effort</w:t>
      </w:r>
      <w:r>
        <w:t xml:space="preserve"> </w:t>
      </w:r>
      <w:r>
        <w:t xml:space="preserve">growth; cool-to-warm palette, official basemap with the nine-dash line. Projected</w:t>
      </w:r>
      <w:r>
        <w:t xml:space="preserve"> </w:t>
      </w:r>
      <w:r>
        <w:t xml:space="preserve">risk rises where exposure and observation intensify jointly.</w:t>
      </w:r>
      <w:r>
        <w:t xml:space="preserve"> </w:t>
      </w: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Figure_8_grid100_native_plugin_hazard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Figure_8b_grid50_native_plugin_hazard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Fig. 4 | Two model classes bound the credible forecast horizon.</w:t>
      </w:r>
      <w:r>
        <w:t xml:space="preserve"> </w:t>
      </w:r>
      <w:r>
        <w:rPr>
          <w:b/>
          <w:bCs/>
        </w:rPr>
        <w:t xml:space="preserve">a</w:t>
      </w:r>
      <w:r>
        <w:t xml:space="preserve">, Mean province hazard projected by the mechanistic hazard model and by</w:t>
      </w:r>
      <w:r>
        <w:t xml:space="preserve"> </w:t>
      </w:r>
      <w:r>
        <w:t xml:space="preserve">gradient boosting, for both emissions pathways and all three thresholds (log scale).</w:t>
      </w:r>
      <w:r>
        <w:t xml:space="preserve"> </w:t>
      </w:r>
      <w:r>
        <w:t xml:space="preserve">The mechanistic model rises to 13-fold (SSP2-4.5) and 131-fold (SSP5-8.5) by 2080;</w:t>
      </w:r>
      <w:r>
        <w:t xml:space="preserve"> </w:t>
      </w:r>
      <w:r>
        <w:t xml:space="preserve">the machine-learning model saturates near 2.4-fold.</w:t>
      </w:r>
      <w:r>
        <w:t xml:space="preserve"> </w:t>
      </w:r>
      <w:r>
        <w:rPr>
          <w:b/>
          <w:bCs/>
        </w:rPr>
        <w:t xml:space="preserve">b</w:t>
      </w:r>
      <w:r>
        <w:t xml:space="preserve">, Percentage of provinces</w:t>
      </w:r>
      <w:r>
        <w:t xml:space="preserve"> </w:t>
      </w:r>
      <w:r>
        <w:t xml:space="preserve">whose projected climate leaves the training range — 18 % by 2050 and 55 % by 2080</w:t>
      </w:r>
      <w:r>
        <w:t xml:space="preserve"> </w:t>
      </w:r>
      <w:r>
        <w:t xml:space="preserve">under SSP2-4.5, 48 % and 91 % under SSP5-8.5 — explaining where and why the two</w:t>
      </w:r>
      <w:r>
        <w:t xml:space="preserve"> </w:t>
      </w:r>
      <w:r>
        <w:t xml:space="preserve">classes diverge.</w:t>
      </w:r>
      <w:r>
        <w:t xml:space="preserve"> </w:t>
      </w:r>
      <w:r>
        <w:rPr>
          <w:b/>
          <w:bCs/>
        </w:rPr>
        <w:t xml:space="preserve">c</w:t>
      </w:r>
      <w:r>
        <w:t xml:space="preserve">, Model accuracy on the complete risk set by validation regime:</w:t>
      </w:r>
      <w:r>
        <w:t xml:space="preserve"> </w:t>
      </w:r>
      <w:r>
        <w:t xml:space="preserve">machine learning wins at interpolation (0.774 vs 0.694) but the classes converge for</w:t>
      </w:r>
      <w:r>
        <w:t xml:space="preserve"> </w:t>
      </w:r>
      <w:r>
        <w:t xml:space="preserve">temporal forecasting (0.615–0.630) and spatial extrapolation (0.613–0.616).</w:t>
      </w:r>
      <w:r>
        <w:t xml:space="preserve"> </w:t>
      </w: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Fig_F_future_mech_vs_ml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Fig_H_model_accuracy</w:t>
      </w:r>
      <w:r>
        <w:rPr>
          <w:i/>
          <w:iCs/>
        </w:rPr>
        <w:t xml:space="preserve">; province projection maps</w:t>
      </w:r>
      <w:r>
        <w:rPr>
          <w:i/>
          <w:iCs/>
        </w:rP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Fig_G_future_maps_mech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Fig_G_future_maps_ml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Fig. 5 | New records are displaced polewards, with taxon-specific directions.</w:t>
      </w:r>
      <w:r>
        <w:t xml:space="preserve"> </w:t>
      </w:r>
      <w:r>
        <w:rPr>
          <w:b/>
          <w:bCs/>
        </w:rPr>
        <w:t xml:space="preserve">a</w:t>
      </w:r>
      <w:r>
        <w:t xml:space="preserve">, Sixteen-sector wind roses of record bearing relative to the historical range</w:t>
      </w:r>
      <w:r>
        <w:t xml:space="preserve"> </w:t>
      </w:r>
      <w:r>
        <w:t xml:space="preserve">centroid (mean 55.7°,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= 0.270) and the nearest range edge (mean 21.1°,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= 0.355); both Rayleigh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0.001,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= 851 records.</w:t>
      </w:r>
      <w:r>
        <w:t xml:space="preserve"> </w:t>
      </w:r>
      <w:r>
        <w:rPr>
          <w:b/>
          <w:bCs/>
        </w:rPr>
        <w:t xml:space="preserve">b</w:t>
      </w:r>
      <w:r>
        <w:t xml:space="preserve">, Composite roses by</w:t>
      </w:r>
      <w:r>
        <w:t xml:space="preserve"> </w:t>
      </w:r>
      <w:r>
        <w:t xml:space="preserve">taxonomic order: passerines east-north-east, raptors north-east, shorebirds</w:t>
      </w:r>
      <w:r>
        <w:t xml:space="preserve"> </w:t>
      </w:r>
      <w:r>
        <w:t xml:space="preserve">north-west and waterfowl south-west.</w:t>
      </w:r>
      <w:r>
        <w:t xml:space="preserve"> </w:t>
      </w:r>
      <w:r>
        <w:rPr>
          <w:b/>
          <w:bCs/>
        </w:rPr>
        <w:t xml:space="preserve">c</w:t>
      </w:r>
      <w:r>
        <w:t xml:space="preserve">, Polar bearing × distance view with mean</w:t>
      </w:r>
      <w:r>
        <w:t xml:space="preserve"> </w:t>
      </w:r>
      <w:r>
        <w:t xml:space="preserve">vectors.</w:t>
      </w:r>
      <w:r>
        <w:t xml:space="preserve"> </w:t>
      </w:r>
      <w:r>
        <w:rPr>
          <w:b/>
          <w:bCs/>
        </w:rPr>
        <w:t xml:space="preserve">d</w:t>
      </w:r>
      <w:r>
        <w:t xml:space="preserve">, Displacement distributions by order and cumulative distributions;</w:t>
      </w:r>
      <w:r>
        <w:t xml:space="preserve"> </w:t>
      </w:r>
      <w:r>
        <w:t xml:space="preserve">median 1,273 km from the centroid and 525 km beyond the nearest edge, with 81 of 851</w:t>
      </w:r>
      <w:r>
        <w:t xml:space="preserve"> </w:t>
      </w:r>
      <w:r>
        <w:t xml:space="preserve">records (9.5 %) inside the historical range.</w:t>
      </w:r>
      <w:r>
        <w:t xml:space="preserve"> </w:t>
      </w: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Fig_I_windrose_overall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Fig_I_windrose_by_order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Fig_J_polar_bearing_distance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Fig_K_distance_distributions</w:t>
      </w:r>
      <w:r>
        <w:rPr>
          <w:i/>
          <w:iCs/>
        </w:rPr>
        <w:t xml:space="preserve">.</w:t>
      </w:r>
    </w:p>
    <w:bookmarkStart w:id="36" w:name="extended-data"/>
    <w:p>
      <w:pPr>
        <w:pStyle w:val="Heading3"/>
      </w:pPr>
      <w:r>
        <w:t xml:space="preserve">Extended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 Table 1</w:t>
            </w:r>
          </w:p>
        </w:tc>
        <w:tc>
          <w:tcPr/>
          <w:p>
            <w:pPr>
              <w:pStyle w:val="Compact"/>
            </w:pPr>
            <w:r>
              <w:t xml:space="preserve">Risk-set construction summary across thresholds (</w:t>
            </w:r>
            <w:r>
              <w:rPr>
                <w:rStyle w:val="VerbatimChar"/>
              </w:rPr>
              <w:t xml:space="preserve">table_riskset_construction_summary.csv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 Table 2</w:t>
            </w:r>
          </w:p>
        </w:tc>
        <w:tc>
          <w:tcPr/>
          <w:p>
            <w:pPr>
              <w:pStyle w:val="Compact"/>
            </w:pPr>
            <w:r>
              <w:t xml:space="preserve">Full model ladder, all thresholds × effort proxies (</w:t>
            </w:r>
            <w:r>
              <w:rPr>
                <w:rStyle w:val="VerbatimChar"/>
              </w:rPr>
              <w:t xml:space="preserve">table_A_model_ladder.csv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 Table 3</w:t>
            </w:r>
          </w:p>
        </w:tc>
        <w:tc>
          <w:tcPr/>
          <w:p>
            <w:pPr>
              <w:pStyle w:val="Compact"/>
            </w:pPr>
            <w:r>
              <w:t xml:space="preserve">Climate × effort proxy matrix (</w:t>
            </w:r>
            <w:r>
              <w:rPr>
                <w:rStyle w:val="VerbatimChar"/>
              </w:rPr>
              <w:t xml:space="preserve">table_B_proxy_matrix.csv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 Table 4</w:t>
            </w:r>
          </w:p>
        </w:tc>
        <w:tc>
          <w:tcPr/>
          <w:p>
            <w:pPr>
              <w:pStyle w:val="Compact"/>
            </w:pPr>
            <w:r>
              <w:t xml:space="preserve">Migratory stratification (</w:t>
            </w:r>
            <w:r>
              <w:rPr>
                <w:rStyle w:val="VerbatimChar"/>
              </w:rPr>
              <w:t xml:space="preserve">table_C_migratory.csv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 Table 5</w:t>
            </w:r>
          </w:p>
        </w:tc>
        <w:tc>
          <w:tcPr/>
          <w:p>
            <w:pPr>
              <w:pStyle w:val="Compact"/>
            </w:pPr>
            <w:r>
              <w:t xml:space="preserve">Deviance decomposition and marginal/conditional</w:t>
            </w:r>
            <w:r>
              <w:t xml:space="preserve"> </w:t>
            </w:r>
            <w:r>
              <w:rPr>
                <w:i/>
                <w:iCs/>
              </w:rPr>
              <w:t xml:space="preserve">R</w:t>
            </w:r>
            <w:r>
              <w:t xml:space="preserve">² (</w:t>
            </w:r>
            <w:r>
              <w:rPr>
                <w:rStyle w:val="VerbatimChar"/>
              </w:rPr>
              <w:t xml:space="preserve">table_D_*.csv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 Table 6</w:t>
            </w:r>
          </w:p>
        </w:tc>
        <w:tc>
          <w:tcPr/>
          <w:p>
            <w:pPr>
              <w:pStyle w:val="Compact"/>
            </w:pPr>
            <w:r>
              <w:t xml:space="preserve">Relative importance, random forest and gradient boosting (</w:t>
            </w:r>
            <w:r>
              <w:rPr>
                <w:rStyle w:val="VerbatimChar"/>
              </w:rPr>
              <w:t xml:space="preserve">table_E_relative_importance.csv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 Table 7</w:t>
            </w:r>
          </w:p>
        </w:tc>
        <w:tc>
          <w:tcPr/>
          <w:p>
            <w:pPr>
              <w:pStyle w:val="Compact"/>
            </w:pPr>
            <w:r>
              <w:t xml:space="preserve">Future projections and mechanistic–ML concordance (</w:t>
            </w:r>
            <w:r>
              <w:rPr>
                <w:rStyle w:val="VerbatimChar"/>
              </w:rPr>
              <w:t xml:space="preserve">table_F_*.csv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 Table 8</w:t>
            </w:r>
          </w:p>
        </w:tc>
        <w:tc>
          <w:tcPr/>
          <w:p>
            <w:pPr>
              <w:pStyle w:val="Compact"/>
            </w:pPr>
            <w:r>
              <w:t xml:space="preserve">Climate-proxy collinearity audit (</w:t>
            </w:r>
            <w:r>
              <w:rPr>
                <w:rStyle w:val="VerbatimChar"/>
              </w:rPr>
              <w:t xml:space="preserve">table_G_climate_proxy_collinearity.csv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 Fig. 1</w:t>
            </w:r>
          </w:p>
        </w:tc>
        <w:tc>
          <w:tcPr/>
          <w:p>
            <w:pPr>
              <w:pStyle w:val="Compact"/>
            </w:pPr>
            <w:r>
              <w:t xml:space="preserve">Endogeneity: lagged-effort interaction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 Fig. 2</w:t>
            </w:r>
          </w:p>
        </w:tc>
        <w:tc>
          <w:tcPr/>
          <w:p>
            <w:pPr>
              <w:pStyle w:val="Compact"/>
            </w:pPr>
            <w:r>
              <w:t xml:space="preserve">Predictive validation across interpolation, temporal and spatial regimes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 Fig. 3</w:t>
            </w:r>
          </w:p>
        </w:tc>
        <w:tc>
          <w:tcPr/>
          <w:p>
            <w:pPr>
              <w:pStyle w:val="Compact"/>
            </w:pPr>
            <w:r>
              <w:t xml:space="preserve">Multi-scale attenuation (province → prefecture → county)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 Table 9</w:t>
            </w:r>
          </w:p>
        </w:tc>
        <w:tc>
          <w:tcPr/>
          <w:p>
            <w:pPr>
              <w:pStyle w:val="Compact"/>
            </w:pPr>
            <w:r>
              <w:t xml:space="preserve">Model accuracy by validation regime, including folds (</w:t>
            </w:r>
            <w:r>
              <w:rPr>
                <w:rStyle w:val="VerbatimChar"/>
              </w:rPr>
              <w:t xml:space="preserve">table_H_model_accuracy*.csv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 Table 10</w:t>
            </w:r>
          </w:p>
        </w:tc>
        <w:tc>
          <w:tcPr/>
          <w:p>
            <w:pPr>
              <w:pStyle w:val="Compact"/>
            </w:pPr>
            <w:r>
              <w:t xml:space="preserve">Directional summary: mean bearings, concentration and Rayleigh tests (</w:t>
            </w:r>
            <w:r>
              <w:rPr>
                <w:rStyle w:val="VerbatimChar"/>
              </w:rPr>
              <w:t xml:space="preserve">table_I_directional_summary.csv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 Table 11</w:t>
            </w:r>
          </w:p>
        </w:tc>
        <w:tc>
          <w:tcPr/>
          <w:p>
            <w:pPr>
              <w:pStyle w:val="Compact"/>
            </w:pPr>
            <w:r>
              <w:t xml:space="preserve">Displacement distances overall and by order (</w:t>
            </w:r>
            <w:r>
              <w:rPr>
                <w:rStyle w:val="VerbatimChar"/>
              </w:rPr>
              <w:t xml:space="preserve">table_J_distance_summary.csv</w:t>
            </w:r>
            <w:r>
              <w:t xml:space="preserve">)</w:t>
            </w:r>
          </w:p>
        </w:tc>
      </w:tr>
    </w:tbl>
    <w:bookmarkEnd w:id="36"/>
    <w:bookmarkEnd w:id="37"/>
    <w:bookmarkStart w:id="38" w:name="author-contributions"/>
    <w:p>
      <w:pPr>
        <w:pStyle w:val="Heading2"/>
      </w:pPr>
      <w:r>
        <w:t xml:space="preserve">Author contributions</w:t>
      </w:r>
    </w:p>
    <w:p>
      <w:pPr>
        <w:pStyle w:val="FirstParagraph"/>
      </w:pPr>
      <w:r>
        <w:t xml:space="preserve">C.-C.D. conceived the study, designed and implemented the analyses, and wrote the</w:t>
      </w:r>
      <w:r>
        <w:t xml:space="preserve"> </w:t>
      </w:r>
      <w:r>
        <w:t xml:space="preserve">manuscript.</w:t>
      </w:r>
    </w:p>
    <w:bookmarkEnd w:id="38"/>
    <w:bookmarkStart w:id="39" w:name="competing-interests"/>
    <w:p>
      <w:pPr>
        <w:pStyle w:val="Heading2"/>
      </w:pPr>
      <w:r>
        <w:t xml:space="preserve">Competing interests</w:t>
      </w:r>
    </w:p>
    <w:p>
      <w:pPr>
        <w:pStyle w:val="FirstParagraph"/>
      </w:pPr>
      <w:r>
        <w:t xml:space="preserve">The author declares no competing interests.</w:t>
      </w:r>
    </w:p>
    <w:bookmarkEnd w:id="39"/>
    <w:bookmarkStart w:id="40" w:name="additional-information"/>
    <w:p>
      <w:pPr>
        <w:pStyle w:val="Heading2"/>
      </w:pPr>
      <w:r>
        <w:t xml:space="preserve">Additional information</w:t>
      </w:r>
    </w:p>
    <w:p>
      <w:pPr>
        <w:pStyle w:val="FirstParagraph"/>
      </w:pPr>
      <w:r>
        <w:rPr>
          <w:b/>
          <w:bCs/>
        </w:rPr>
        <w:t xml:space="preserve">Funding</w:t>
      </w:r>
      <w:r>
        <w:t xml:space="preserve"> </w:t>
      </w:r>
      <w:r>
        <w:t xml:space="preserve">[to be completed].</w:t>
      </w:r>
      <w:r>
        <w:t xml:space="preserve"> </w:t>
      </w:r>
      <w:r>
        <w:rPr>
          <w:b/>
          <w:bCs/>
        </w:rPr>
        <w:t xml:space="preserve">AI-usage disclosure</w:t>
      </w:r>
      <w:r>
        <w:t xml:space="preserve"> </w:t>
      </w:r>
      <w:r>
        <w:t xml:space="preserve">Generative AI assisted with</w:t>
      </w:r>
      <w:r>
        <w:t xml:space="preserve"> </w:t>
      </w:r>
      <w:r>
        <w:t xml:space="preserve">drafting, code organisation and prose editing under the author's direct supervision;</w:t>
      </w:r>
      <w:r>
        <w:t xml:space="preserve"> </w:t>
      </w:r>
      <w:r>
        <w:t xml:space="preserve">all analyses, numerical results and interpretations were produced and verified by the</w:t>
      </w:r>
      <w:r>
        <w:t xml:space="preserve"> </w:t>
      </w:r>
      <w:r>
        <w:t xml:space="preserve">author against persisted result tables, for which the author takes full</w:t>
      </w:r>
      <w:r>
        <w:t xml:space="preserve"> </w:t>
      </w:r>
      <w:r>
        <w:t xml:space="preserve">responsibility.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github.com/dingchenchen6/bird-hazard-complete-riskset" TargetMode="External" /><Relationship Type="http://schemas.openxmlformats.org/officeDocument/2006/relationships/hyperlink" Id="rId30" Target="https://github.com/dingchenchen6/bird-hazard-effort-visibility" TargetMode="External" /><Relationship Type="http://schemas.openxmlformats.org/officeDocument/2006/relationships/hyperlink" Id="rId9" Target="mailto:chenchending1992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github.com/dingchenchen6/bird-hazard-complete-riskset" TargetMode="External" /><Relationship Type="http://schemas.openxmlformats.org/officeDocument/2006/relationships/hyperlink" Id="rId30" Target="https://github.com/dingchenchen6/bird-hazard-effort-visibility" TargetMode="External" /><Relationship Type="http://schemas.openxmlformats.org/officeDocument/2006/relationships/hyperlink" Id="rId9" Target="mailto:chenchending1992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2026-07-25T02:22:51Z</dcterms:created>
  <dcterms:modified xsi:type="dcterms:W3CDTF">2026-07-25T02:22:51Z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