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Step-by-step decomposition from the previously published specification to the corrected 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Change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interaction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previously published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182,485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1.788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1.394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discovery-year dating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181,134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coverage-gap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175,686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area-weighted climate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1.289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completeness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× year effect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0.849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Random-effect structure comparison on four criteria.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Structure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ΔAIC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McFadden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163.1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0.0142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0.108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0.687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 +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98.7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0.721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74.8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0.069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0.607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+ province × year (main)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5.25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0.0331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0.411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0.358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species warming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4.48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0.351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effort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0.341</w:t>
            </w: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(Extended Data Figure 4a),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Figure 2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Figure 3 | The result does not depend on any freely chosen analytical decision.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 across four climate indicators and four accumulation windows; asterisks denote significance.</w:t>
      </w:r>
      <w:r>
        <w:t xml:space="preserve"> </w:t>
      </w:r>
      <w:r>
        <w:rPr>
          <w:b/>
          <w:bCs/>
        </w:rPr>
        <w:t xml:space="preserve">b</w:t>
      </w:r>
      <w:r>
        <w:t xml:space="preserve">, ΔAIC across the same grid, all cells fitted on identical rows.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survey effort (triangles) and accumulated warming (circles) across four effort proxies and three treatments of the 24 implausible zero cells. AIC is not comparable across missing-data rules because the sample sizes differ, so only coefficients are shown.</w:t>
      </w:r>
    </w:p>
    <w:p>
      <w:pPr>
        <w:pStyle w:val="BodyText"/>
      </w:pPr>
      <w:r>
        <w:rPr>
          <w:b/>
          <w:bCs/>
        </w:rPr>
        <w:t xml:space="preserve">Figure 4 | Anatomy of the model, in units a reader can picture.</w:t>
      </w:r>
      <w:r>
        <w:t xml:space="preserve"> </w:t>
      </w:r>
      <w:r>
        <w:rPr>
          <w:b/>
          <w:bCs/>
        </w:rPr>
        <w:t xml:space="preserve">a</w:t>
      </w:r>
      <w:r>
        <w:t xml:space="preserve">, Construction of the species-referenced climate gradient, shown as 15-year trailing means for one province and two species. Yunnan has warmed more than the Chinese range of</w:t>
      </w:r>
      <w:r>
        <w:t xml:space="preserve"> </w:t>
      </w:r>
      <w:r>
        <w:rPr>
          <w:i/>
          <w:iCs/>
        </w:rPr>
        <w:t xml:space="preserve">Aethopyga christinae</w:t>
      </w:r>
      <w:r>
        <w:t xml:space="preserve"> </w:t>
      </w:r>
      <w:r>
        <w:t xml:space="preserve">and less than that of</w:t>
      </w:r>
      <w:r>
        <w:t xml:space="preserve"> </w:t>
      </w:r>
      <w:r>
        <w:rPr>
          <w:i/>
          <w:iCs/>
        </w:rPr>
        <w:t xml:space="preserve">Coracias garrulus</w:t>
      </w:r>
      <w:r>
        <w:t xml:space="preserve">, so the same province in the same year yields opposite values of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for the two species.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of each climate term partitioned into variation between province-years and variation within a province-year, the latter arising purely from differences among species.</w:t>
      </w:r>
      <w:r>
        <w:t xml:space="preserve"> </w:t>
      </w:r>
      <w:r>
        <w:rPr>
          <w:b/>
          <w:bCs/>
        </w:rPr>
        <w:t xml:space="preserve">c</w:t>
      </w:r>
      <w:r>
        <w:t xml:space="preserve">, Partial effects in natural units: annual hazard against how much more the province has warmed than the species’ range, at three levels of survey effort expressed as annual visits.</w:t>
      </w:r>
      <w:r>
        <w:t xml:space="preserve"> </w:t>
      </w:r>
      <w:r>
        <w:rPr>
          <w:b/>
          <w:bCs/>
        </w:rPr>
        <w:t xml:space="preserve">d</w:t>
      </w:r>
      <w:r>
        <w:t xml:space="preserve">, Every variance component and both focal fixed effects expressed as the hazard multiplier per one standard deviation, on a common axis.</w:t>
      </w:r>
    </w:p>
    <w:p>
      <w:pPr>
        <w:pStyle w:val="BodyText"/>
      </w:pPr>
      <w:r>
        <w:rPr>
          <w:b/>
          <w:bCs/>
        </w:rPr>
        <w:t xml:space="preserve">Figure 5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Figure 6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Figure 7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2026-09-10T10:35:27Z</dcterms:created>
  <dcterms:modified xsi:type="dcterms:W3CDTF">2026-09-10T10:35:27Z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