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375d79c841bc0027eb180376c96c2db5ee86b3d"/>
    <w:p>
      <w:pPr>
        <w:pStyle w:val="Heading1"/>
      </w:pPr>
      <w:r>
        <w:t xml:space="preserve">Warming and survey effort contribute comparably to the generation of new bird distribution records once records are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dingchenchen@pku.edu.cn</w:t>
      </w:r>
    </w:p>
    <w:bookmarkStart w:id="9" w:name="abstract"/>
    <w:p>
      <w:pPr>
        <w:pStyle w:val="Heading2"/>
      </w:pPr>
      <w:r>
        <w:t xml:space="preserve">Abstract</w:t>
      </w:r>
    </w:p>
    <w:p>
      <w:pPr>
        <w:pStyle w:val="FirstParagraph"/>
      </w:pPr>
      <w:r>
        <w:t xml:space="preserve">Documented distributions reflect where organisms occur and where people look. Here we model the annual hazard of a first provincial record on a complete species-by-province-year risk set for 1,029 Chinese bird records (2002–2024), dated to discovery rather than publication. Publication-year dating inflates the effort hazard ratio from 1.305 to 1.788 and manufactures a spurious climate-variability effect. Corrected, accumulated warming relative to a species’ historical range (1.362 per standard deviation) and survey effort (1.404) contribute comparably. Design-preserving permutation nulls centre warming on 1.157, not unity, an increment near 1.18, and collapse effort to 0.980 when its temporal alignment is broken. The largest variance component is a province-by-year random intercept (SD 0.804); effort’s marginal return declines from 2.18 to 1.07 while the climate effect does not; and new records fall disproportionately east and northeast of species’ ranges. Documented range gains therefore reflect climate and observation in roughly equal measure.</w:t>
      </w:r>
    </w:p>
    <w:bookmarkEnd w:id="9"/>
    <w:bookmarkStart w:id="11" w:name="introduction"/>
    <w:p>
      <w:pPr>
        <w:pStyle w:val="Heading2"/>
      </w:pPr>
      <w:r>
        <w:t xml:space="preserve">Introduction</w:t>
      </w:r>
    </w:p>
    <w:p>
      <w:pPr>
        <w:pStyle w:val="FirstParagraph"/>
      </w:pPr>
      <w:r>
        <w:t xml:space="preserve">Documented species distributions are a joint product of where organisms occur and where people look</w:t>
      </w:r>
      <w:r>
        <w:rPr>
          <w:vertAlign w:val="superscript"/>
        </w:rPr>
        <w:t xml:space="preserve">1–4</w:t>
      </w:r>
      <w:r>
        <w:t xml:space="preserve">, and the inferential consequences remain incompletely handled in the literature on climate-driven range shifts</w:t>
      </w:r>
      <w:r>
        <w:rPr>
          <w:vertAlign w:val="superscript"/>
        </w:rPr>
        <w:t xml:space="preserve">5–8</w:t>
      </w:r>
      <w:r>
        <w:t xml:space="preserve">. A first report of a species from an administrative unit is often read as evidence of range expansion, but the same record is equally consistent with a long-standing population that has only now been detected, or with a stable population in a region whose observer base has recently grown</w:t>
      </w:r>
      <w:r>
        <w:rPr>
          <w:vertAlign w:val="superscript"/>
        </w:rPr>
        <w:t xml:space="preserve">16,19–21</w:t>
      </w:r>
      <w:r>
        <w:t xml:space="preserve">. Which reading is correct determines whether a body of records is evidence of biodiversity redistribution or of the filling of the Wallacean shortfall</w:t>
      </w:r>
      <w:r>
        <w:rPr>
          <w:vertAlign w:val="superscript"/>
        </w:rPr>
        <w:t xml:space="preserve">1,2</w:t>
      </w:r>
      <w:r>
        <w:t xml:space="preserve">.</w:t>
      </w:r>
    </w:p>
    <w:p>
      <w:pPr>
        <w:pStyle w:val="BodyText"/>
      </w:pPr>
      <w:r>
        <w:t xml:space="preserve">China offers unusual leverage on this problem. Over the past two decades the country has warmed rapidly while its birdwatching community grew from a few thousand to hundreds of thousands of participants, and a national compilation of provincial new bird records now carries dates of discovery as well as of publication</w:t>
      </w:r>
      <w:r>
        <w:rPr>
          <w:vertAlign w:val="superscript"/>
        </w:rPr>
        <w:t xml:space="preserve">9,25,37</w:t>
      </w:r>
      <w:r>
        <w:t xml:space="preserve">. That both signals expanded together is what makes the attribution hard, and what makes a formal risk-set analysis necessary.</w:t>
      </w:r>
    </w:p>
    <w:p>
      <w:pPr>
        <w:pStyle w:val="BodyText"/>
      </w:pPr>
      <w:r>
        <w:t xml:space="preserve">Three gaps motivate this study. First, the temporal alignment of events has not been examined. Records carry two dates — when the bird was seen, and when the paper appeared — and almost all analyses use the latter, the field primary sources reliably report. Publication lag is not a small random offset but a right-skewed delay that grew alongside the observational infrastructure, so dating an event to publication places it in a year in which the effort database was systematically larger. Second, the observation process operates at a scale most models do not represent. Survey campaigns, birding festivals, new protected areas and reporting channels act on one province in one year; species and region random intercepts, the conventional choice</w:t>
      </w:r>
      <w:r>
        <w:rPr>
          <w:vertAlign w:val="superscript"/>
        </w:rPr>
        <w:t xml:space="preserve">55</w:t>
      </w:r>
      <w:r>
        <w:t xml:space="preserve">, cannot absorb this, and it leaks into whichever fixed effect trends with observational capacity. Third, projections of future record generation have been made without checking whether the scenarios lie inside the fitted data.</w:t>
      </w:r>
    </w:p>
    <w:p>
      <w:pPr>
        <w:pStyle w:val="BodyText"/>
      </w:pPr>
      <w:r>
        <w:t xml:space="preserve">Here we address all three. We construct a complete risk set — every species × province × year cell in which a new record could have occurred, with absorbing exit after the first record — and model the annual hazard with a complementary log-log link, the discrete-time analogue of a proportional-hazards model</w:t>
      </w:r>
      <w:r>
        <w:rPr>
          <w:rStyle w:val="FootnoteReference"/>
        </w:rPr>
        <w:footnoteReference w:id="10"/>
      </w:r>
      <w:r>
        <w:t xml:space="preserve">^. We re-date every event to its year of discovery, correct the resulting right-censoring with a reporting-completeness offset, treat structurally implausible zeros in the effort database as coverage gaps, and add a province-by-year random intercept. We then ask how large the dating bias is, what warming and effort each contribute once it is corrected, and how far the fitted relationship can be projected.</w:t>
      </w:r>
    </w:p>
    <w:bookmarkEnd w:id="11"/>
    <w:bookmarkStart w:id="24" w:name="results"/>
    <w:p>
      <w:pPr>
        <w:pStyle w:val="Heading2"/>
      </w:pPr>
      <w:r>
        <w:t xml:space="preserve">Results</w:t>
      </w:r>
    </w:p>
    <w:bookmarkStart w:id="12" w:name="the-risk-set-and-the-dating-problem"/>
    <w:p>
      <w:pPr>
        <w:pStyle w:val="Heading3"/>
      </w:pPr>
      <w:r>
        <w:t xml:space="preserve">The risk set and the dating problem</w:t>
      </w:r>
    </w:p>
    <w:p>
      <w:pPr>
        <w:pStyle w:val="FirstParagraph"/>
      </w:pPr>
      <w:r>
        <w:t xml:space="preserve">The released compilation contains 1,029 provincial-level new bird records, with a parseable discovery date for 1,028 (99.9%). Of these, 684 matched a species × province cell in the candidate pool defined by species-distribution models plus forced inclusion of every observed event, and 657 fall within the 2002–2024 analysis window. After requiring non-missing effort and climate components, the modelling data contain 175,901 rows, 649 events, 392 species and 31 provincial units (Supplementary Note S1; Supplementary Table S9). Its spatio-temporal pattern is summarised in Supplementary Fig. S18.</w:t>
      </w:r>
    </w:p>
    <w:p>
      <w:pPr>
        <w:pStyle w:val="BodyText"/>
      </w:pPr>
      <w:r>
        <w:t xml:space="preserve">Publication lags discovery by a median of one year and a mean of 2.09 years; 81.7% of records lag by at least one year and 26.8% by three or more (Fig. 2a). Re-dating changes the assigned year of 526 of 633 comparable events (83.1%), with a median shift of −1 year and a mean of −1.83 years. The two conventions produce qualitatively different time series (Fig. 2b): the publication-year series rises monotonically to 67 events in 2024, whereas the discovery-year series peaks at 59 in 2019 and falls to 14 in 2024. The former is an artefact of delayed reporting, the latter right-censoring. Because the observed hazard is the true hazard times the reporting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exactly as an offset log</w:t>
      </w:r>
      <w:r>
        <w:t xml:space="preserve"> </w:t>
      </w:r>
      <w:r>
        <w:rPr>
          <w:i/>
          <w:iCs/>
        </w:rPr>
        <w:t xml:space="preserve">c</w:t>
      </w:r>
      <w:r>
        <w:t xml:space="preserve">(</w:t>
      </w:r>
      <w:r>
        <w:rPr>
          <w:i/>
          <w:iCs/>
        </w:rPr>
        <w:t xml:space="preserve">t</w:t>
      </w:r>
      <w:r>
        <w:t xml:space="preserve">), included throughout.</w:t>
      </w:r>
    </w:p>
    <w:bookmarkEnd w:id="12"/>
    <w:bookmarkStart w:id="13"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changing exactly one thing at each (Fig. 2c; Supplementary Table S1). Re-dating alone moves the survey-effort hazard ratio from 1.788 to 1.305, a reduction of 37% in the excess hazard,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is essentially untouched (1.394 → 1.437). The four remaining corrections — coverage-gap effort, area-weighted climate, the completeness offset and the province-by-year intercept — are smaller, although the completeness offset restores +0.159 by recovering signal that right-censoring had attenuated.</w:t>
      </w:r>
    </w:p>
    <w:p>
      <w:pPr>
        <w:pStyle w:val="BodyText"/>
      </w:pPr>
      <w:r>
        <w:t xml:space="preserve">The mechanism is transparent. Publication year and the size of the observational database both increase through time, so assigning an event to its publication year places it in a cell whose recorded effort is systematically higher than the effort that actually generated the observation. This inflates the effort coefficient and decorrelates the event from the weather of the year in which the bird was actually seen, which is why a spurious negative coefficient on annual climate variability appears under publication-year dating and disappears under discovery-year dating. Accumulated warming, a fifteen-year trailing mean, is robust to a one- or two-year shift, which is why it survives the correction unchanged.</w:t>
      </w:r>
    </w:p>
    <w:bookmarkEnd w:id="13"/>
    <w:bookmarkStart w:id="14"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 1a; Table 1).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 1b).</w:t>
      </w:r>
    </w:p>
    <w:p>
      <w:pPr>
        <w:pStyle w:val="BodyText"/>
      </w:pPr>
      <w:r>
        <w:t xml:space="preserve">Two qualifications apply to these effect sizes. First, the reference point for the warming coefficient is not unity. Permuting accumulated warming among species within a province-year, or the event indicator among the species at risk, still returns a hazard ratio of 1.157–1.167, because both preserve the covariance between provincial-annual climate and event counts. The observed 1.362 lies outside that null distribution (</w:t>
      </w:r>
      <w:r>
        <w:rPr>
          <w:i/>
          <w:iCs/>
        </w:rPr>
        <w:t xml:space="preserve">P</w:t>
      </w:r>
      <w:r>
        <w:t xml:space="preserve"> </w:t>
      </w:r>
      <w:r>
        <w:t xml:space="preserve">= 0.005 in both cases), but the increment attributable to the species-specific referencing is 1.362/1.157 ≈ 1.18 rather than 1.36; the remainder is a baseline shared with the null. The effort coefficient behaves differently: permuting effort across years within a province collapses it to 0.980, with the null 95% interval covering unity, so it derives from the temporal alignment of effort and events, not from cross-sectional contrasts between provinces. Second, the Wald intervals are slightly narrow under provincial clustering. A cluster bootstrap resampling provinces widens them to 1.20–1.72 for warming and 1.21–1.76 for effort; both lower bounds still exceed unity, and the interaction remains bounded away from it (0.74–0.99). Resampling species leaves them essentially unchanged.</w:t>
      </w:r>
    </w:p>
    <w:p>
      <w:pPr>
        <w:pStyle w:val="BodyText"/>
      </w:pPr>
      <w:r>
        <w:t xml:space="preserve">In natural units, one standard deviation of accumulated warming is 0.179 °C: a province that has warmed by that much more than a species’ own historical Chinese range carries a 36% higher annual hazard for that species. One standard deviation of survey effort corresponds to a 7.75-fold increase in annual provincial visits. The climate variable is genuinely species-specific rather than a relabelled regional index, and four independent importance criteria agree that warming and effort are of comparable weight (Supplementary Note S2; Supplementary Fig. S4).</w:t>
      </w:r>
    </w:p>
    <w:p>
      <w:pPr>
        <w:pStyle w:val="BodyText"/>
      </w:pPr>
      <w:r>
        <w:t xml:space="preserve">The discrimination ladder makes the point most directly (Fig. 1d). With the random structure held at the main model, fixed-effect-only AUC rises from 0.411 for the null model to 0.559 with effort alone, 0.580 with accumulated warming alone, and 0.610 with both. Climate alone discriminates better than effort alone; neither alone approaches the pair. This is a different conclusion from the one reached under publication-year dating, where effort dominated.</w:t>
      </w:r>
    </w:p>
    <w:bookmarkEnd w:id="14"/>
    <w:bookmarkStart w:id="15"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rather than AIC alone (Supplementary Table S2; Supplementary Fig. S1).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Marginal AUC is flat across all six structures (0.607–0.613), so the random structure absorbs observational heterogeneity without redistributing the fixed-effect signal. Two random-slope alternatives fit marginally better on AIC but reduce conditional</w:t>
      </w:r>
      <w:r>
        <w:t xml:space="preserve"> </w:t>
      </w:r>
      <w:r>
        <w:rPr>
          <w:i/>
          <w:iCs/>
        </w:rPr>
        <w:t xml:space="preserve">R</w:t>
      </w:r>
      <w:r>
        <w:t xml:space="preserve">² and leave the fixed effects unchanged, so we freeze the three-level intercept structure (Supplementary Note S3).</w:t>
      </w:r>
    </w:p>
    <w:p>
      <w:pPr>
        <w:pStyle w:val="BodyText"/>
      </w:pPr>
      <w:r>
        <w:t xml:space="preserve">The random intercepts have standard deviations of 0.405 for species, 0.326 for province and 0.804 for province by year, so one standard deviation multiplies the hazard by 1.50, 1.39 and 2.23 respectively, and the fitted province-year levels span a thirteenfold range (Fig. 3c). The province-by-year term is the single largest variance component, larger than either fixed effect.</w:t>
      </w:r>
    </w:p>
    <w:p>
      <w:pPr>
        <w:pStyle w:val="BodyText"/>
      </w:pPr>
      <w:r>
        <w:t xml:space="preserve">Ecologically, that component is the scale at which the observation process actually operates: a regional survey campaign, a provincial birding festival, a newly established protected area or a new local reporting channel raises the documentation rate for one province in one year, and such shocks are not shared nationally (Supplementary Note S3; Supplementary Table S4). The reporting-completeness offset is a known correction rather than a free parameter; omitting it attenuates the effort coefficient from 1.372 to 1.245, because censoring is concentrated in the recent, high-effort years.</w:t>
      </w:r>
    </w:p>
    <w:bookmarkEnd w:id="15"/>
    <w:bookmarkStart w:id="16" w:name="Xf38245127daa17f58c79a23a62853ee4cbb15cc"/>
    <w:p>
      <w:pPr>
        <w:pStyle w:val="Heading3"/>
      </w:pPr>
      <w:r>
        <w:t xml:space="preserve">Migratory strategy shifts the baseline, not the drivers</w:t>
      </w:r>
    </w:p>
    <w:p>
      <w:pPr>
        <w:pStyle w:val="FirstParagraph"/>
      </w:pPr>
      <w:r>
        <w:t xml:space="preserve">Migratory strategy shifts the baseline hazard, improving fit by ΔAIC 6.2, but moderates neither driver: warming and effort raise the hazard in residents, partial migrants and long-distance migrants alike, and no interaction with strategy is supported (Supplementary Note S4; Supplementary Table S5; Supplementary Fig. S5).</w:t>
      </w:r>
    </w:p>
    <w:bookmarkEnd w:id="16"/>
    <w:bookmarkStart w:id="17" w:name="which-species-and-which-provinces"/>
    <w:p>
      <w:pPr>
        <w:pStyle w:val="Heading3"/>
      </w:pPr>
      <w:r>
        <w:t xml:space="preserve">Which species, and which provinces</w:t>
      </w:r>
    </w:p>
    <w:p>
      <w:pPr>
        <w:pStyle w:val="FirstParagraph"/>
      </w:pPr>
      <w:r>
        <w:t xml:space="preserve">Two companion analyses operate at coarser levels (Supplementary Note S5; Supplementary Tables S6–S8; Supplementary Figs S6, S7). Two species-level effects hold under all three treatments of phylogenetic non-independence: partial migrants are about twice as likely as residents to yield a new provincial record, and range size raises the odds — but only when range is measured as an area, because the count of provinces occupied is contaminated by the response.</w:t>
      </w:r>
    </w:p>
    <w:p>
      <w:pPr>
        <w:pStyle w:val="BodyText"/>
      </w:pPr>
      <w:r>
        <w:t xml:space="preserve">At the provincial level, the informative model treats recent effort as an offset, making the response the discovery rate per unit of effort; provinces already well covered in 2002–2008 yield fewer records per unit of recent effort (0.71,</w:t>
      </w:r>
      <w:r>
        <w:t xml:space="preserve"> </w:t>
      </w:r>
      <w:r>
        <w:rPr>
          <w:i/>
          <w:iCs/>
        </w:rPr>
        <w:t xml:space="preserve">P</w:t>
      </w:r>
      <w:r>
        <w:t xml:space="preserve"> </w:t>
      </w:r>
      <w:r>
        <w:t xml:space="preserve">= 0.028). Effort therefore appears at the provincial scale not as a count effect but as diminishing returns — the same signal the hazard model shows as an effort coefficient that falls through time.</w:t>
      </w:r>
    </w:p>
    <w:bookmarkEnd w:id="17"/>
    <w:bookmarkStart w:id="18" w:name="Xc6bca05a8d0c9105c2bfd59170cf82c9f277673"/>
    <w:p>
      <w:pPr>
        <w:pStyle w:val="Heading3"/>
      </w:pPr>
      <w:r>
        <w:t xml:space="preserve">New records are strongly biased toward the east and northeast</w:t>
      </w:r>
    </w:p>
    <w:p>
      <w:pPr>
        <w:pStyle w:val="FirstParagraph"/>
      </w:pPr>
      <w:r>
        <w:t xml:space="preserve">If new records simply filled in survey gaps at random, they would fall on all sides of a species’ known range with equal frequency. They do not. Taking the bearing from each species’ BirdLife range centroid to the record in eight sectors, direction is far from uniform (χ² = 580.1, df = 7,</w:t>
      </w:r>
      <w:r>
        <w:t xml:space="preserve"> </w:t>
      </w:r>
      <w:r>
        <w:rPr>
          <w:i/>
          <w:iCs/>
        </w:rPr>
        <w:t xml:space="preserve">P</w:t>
      </w:r>
      <w:r>
        <w:t xml:space="preserve"> </w:t>
      </w:r>
      <w:r>
        <w:t xml:space="preserve">= 4.6 × 10⁻¹²¹; Fig. 4). Two sectors are over-represented after Holm correction: east holds 237 of 642 records (36.9%, against 80.2 expected) and northeast 179 (27.9%). South and west are nearly empty, with 20 and 19. Five well-sampled orders reject uniformity on their own, and the significant sectors are always east, northeast or both (Supplementary Note S6; Supplementary Fig. S16).</w:t>
      </w:r>
    </w:p>
    <w:p>
      <w:pPr>
        <w:pStyle w:val="BodyText"/>
      </w:pPr>
      <w:r>
        <w:t xml:space="preserve">Two mechanisms are consistent with this and cannot be separated by these data. Observationally, the eastern half of China holds most of the observer population, so a range edge is far more likely to be watched on its eastern side. Ecologically, eastern and north-eastern margins are where suitable climate is expanding fastest for a warming-tracking assemblage. That birds show an eastward rather than a northward bias is itself informative: China’s observer gradient runs west-to-east, not south-to-north, which tilts the balance toward the observational explanation for this taxon.</w:t>
      </w:r>
    </w:p>
    <w:bookmarkEnd w:id="18"/>
    <w:bookmarkStart w:id="19" w:name="the-return-on-survey-effort-is-declining"/>
    <w:p>
      <w:pPr>
        <w:pStyle w:val="Heading3"/>
      </w:pPr>
      <w:r>
        <w:t xml:space="preserve">The return on survey effort is declining</w:t>
      </w:r>
    </w:p>
    <w:p>
      <w:pPr>
        <w:pStyle w:val="FirstParagraph"/>
      </w:pPr>
      <w:r>
        <w:t xml:space="preserve">The proportional-hazards assumption holds for accumulated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This is a substantive result rather than a diagnostic failure. Allowing the effort coefficient to vary through time, its hazard ratio falls from 2.18 (95% CI 1.63–2.90) in 2002 to 1.07 (0.88–1.30) in 2024, crossing into non-significance in the early 2020s (Fig. 3d). Two decades of intensifying observation have used up the readily detectable gaps. That the climate term shows no such decline is the sharpest available evidence that the two coefficients capture different processes: a saturating observational one and a non-saturating climatic one.</w:t>
      </w:r>
    </w:p>
    <w:bookmarkEnd w:id="19"/>
    <w:bookmarkStart w:id="20" w:name="robustness"/>
    <w:p>
      <w:pPr>
        <w:pStyle w:val="Heading3"/>
      </w:pPr>
      <w:r>
        <w:t xml:space="preserve">Robustness</w:t>
      </w:r>
    </w:p>
    <w:p>
      <w:pPr>
        <w:pStyle w:val="FirstParagraph"/>
      </w:pPr>
      <w:r>
        <w:t xml:space="preserve">The conclusions do not depend on any freely chosen analytical decision (Supplementary Note S7; Supplementary Figs S2, S3; Supplementary Table S10). Raising the species-distribution-model threshold from 50 to 200 suitable cells changes the risk set from 175,901 to 155,435 rows but leaves the coefficients essentially fixed (effort 1.404, 1.405, 1.411; warming 1.362, 1.376, 1.372; interaction 0.849, 0.851, 0.850). All twelve combinations of four effort proxies and three treatments of the 24 implausible zero cells give effort hazard ratios between 1.25 and 1.52 and warming hazard ratios between 1.35 and 1.37. Tested jointly against three climate series (Supplementary Note S7), the warming coefficient rises with window length in every series, from about 1.16–1.21 at five years to 1.36–1.40 at twenty — the signature expected of a process that integrates climate over years to decades, with an interior optimum. We retain 15 years as pre-specified; it lies within 2.2–5.6 AIC units of the optimum in every series. The effort coefficient is flat at 1.34–1.41 across the same grid, so the two terms are not competing for the same variance.</w:t>
      </w:r>
    </w:p>
    <w:bookmarkEnd w:id="20"/>
    <w:bookmarkStart w:id="21" w:name="model-adequacy"/>
    <w:p>
      <w:pPr>
        <w:pStyle w:val="Heading3"/>
      </w:pPr>
      <w:r>
        <w:t xml:space="preserve">Model adequacy</w:t>
      </w:r>
    </w:p>
    <w:p>
      <w:pPr>
        <w:pStyle w:val="FirstParagraph"/>
      </w:pPr>
      <w:r>
        <w:t xml:space="preserve">Simulation-based residual diagnostics indicate a well-calibrated model with no spatial autocorrelation in province-mean residuals, apart from a significant outlier test (95 outliers,</w:t>
      </w:r>
      <w:r>
        <w:t xml:space="preserve"> </w:t>
      </w:r>
      <w:r>
        <w:rPr>
          <w:i/>
          <w:iCs/>
        </w:rPr>
        <w:t xml:space="preserve">P</w:t>
      </w:r>
      <w:r>
        <w:t xml:space="preserve"> </w:t>
      </w:r>
      <w:r>
        <w:t xml:space="preserve">&lt; 0.001) that is expected of a binary outcome with an event rate of 0.37% (Supplementary Note S8; Supplementary Table S3; Supplementary Figs S8, S9). Three design-preserving permutation nulls, each destroying exactly one association while holding the risk set, the per-province-year event counts, the effort and completeness marginals and the random-effect hierarchy fixed, place every reported coefficient outside its null distribution except annual climate variability; a cluster bootstrap of 300 resamples and a parametric bootstrap of 150 simulations agree that provincial, but not species, clustering inflates the model-based standard errors. Leaving out each province in turn, and each of ten species deciles, shows that no single province or species group carries the result.</w:t>
      </w:r>
    </w:p>
    <w:bookmarkEnd w:id="21"/>
    <w:bookmarkStart w:id="22" w:name="X30c910c5c654a1a1551de8e16c7c8a457dac784"/>
    <w:p>
      <w:pPr>
        <w:pStyle w:val="Heading3"/>
      </w:pPr>
      <w:r>
        <w:t xml:space="preserve">How far can these relationships be projected?</w:t>
      </w:r>
    </w:p>
    <w:p>
      <w:pPr>
        <w:pStyle w:val="FirstParagraph"/>
      </w:pPr>
      <w:r>
        <w:t xml:space="preserve">We projected the fitted hazard under CMIP6 SSP2-4.5 and SSP5-8.5 for 2030, 2050 and 2080, applying the four-model ensemble delta to both ends of the climate gradient, and asked how much of each scenario lies inside the range over which the model was fitted (Fig. 5b).</w:t>
      </w:r>
    </w:p>
    <w:p>
      <w:pPr>
        <w:pStyle w:val="BodyText"/>
      </w:pPr>
      <w:r>
        <w:t xml:space="preserve">The historical species-specific gradient has a standard deviation of only 0.18 °C, whereas future province-minus-range warming differentials reach 2 °C, more than ten standard deviations beyond the fitted range; only 47.8% of species-province cells fall inside the fitted covariate support under SSP2-4.5 in 2030, 10.4% in 2050 and 2.1% in 2080 (34.2%, 2.1% and 1.9% under SSP5-8.5).</w:t>
      </w:r>
    </w:p>
    <w:p>
      <w:pPr>
        <w:pStyle w:val="BodyText"/>
      </w:pPr>
      <w:r>
        <w:t xml:space="preserve">Restricted to cells inside the support, the mechanistic model projects hazard ratios relative to 2024 of 0.79 to 2.94; applied without the mask, the same model produces ratios up to 78. A gradient-boosted comparison model trained on the same three predictors tracks the mechanistic model inside the observed range but diverges completely outside it, agreeing on the direction of change in only 23.7% of cells (Fig. 5c; Supplementary Note S9; Supplementary Figs S10–S12). Treating climate and effort as independent scenario axes, the climate pathway barely moves the national expectation (23.2 versus 23.1 records per year in 2030) whereas continued effort growth more than doubles it by 2050—almost entirely outside the fitted support (Supplementary Fig. S19). Random forest and XGBoost behave alike and agree on where records fall (Supplementary Note S11; Supplementary Figs S20, S21). On the same scenario grid only the mechanistic model responds; the ensembles stay flat or reverse (Supplementary Figs S22, S23).</w:t>
      </w:r>
    </w:p>
    <w:bookmarkEnd w:id="22"/>
    <w:bookmarkStart w:id="23" w:name="X8e399277562751b0978c96f332af6194ca3906c"/>
    <w:p>
      <w:pPr>
        <w:pStyle w:val="Heading3"/>
      </w:pPr>
      <w:r>
        <w:t xml:space="preserve">Records inside nature reserves measure the observation process, not reserve performance</w:t>
      </w:r>
    </w:p>
    <w:p>
      <w:pPr>
        <w:pStyle w:val="FirstParagraph"/>
      </w:pPr>
      <w:r>
        <w:t xml:space="preserve">Twenty-six per cent of new records fall inside one of the 1,028 mapped Chinese nature reserves, against a land-area share of 10.4% — an apparent 2.5-fold enrichment that would ordinarily be read as evidence that the reserve network is receiving redistributing species. We tested that reading against the observation process directly, using 2.86 million GBIF/eBird checklists to define availability as where birdwatchers actually went and matching each event to 200 checklist-weighted controls from the same province and year. Conditioned in this way, the enrichment falls to an odds ratio of 1.71 (95% CI 1.39–2.11), and to 1.57 (1.26–1.96) after adding elevation, longitude and two bioclimatic covariates. Because within-site observation bias cannot be conditioned out, we treat 1.57 as an upper bound on any ecological contribution, and the operational conclusion is that counts of new records inside reserves should not be used as an indicator of reserve performance (Supplementary Note S10; Supplementary Figs S13–S15).</w:t>
      </w:r>
    </w:p>
    <w:bookmarkEnd w:id="23"/>
    <w:bookmarkEnd w:id="24"/>
    <w:bookmarkStart w:id="26" w:name="discussion"/>
    <w:p>
      <w:pPr>
        <w:pStyle w:val="Heading2"/>
      </w:pPr>
      <w:r>
        <w:t xml:space="preserve">Discussion</w:t>
      </w:r>
    </w:p>
    <w:p>
      <w:pPr>
        <w:pStyle w:val="FirstParagraph"/>
      </w:pPr>
      <w:r>
        <w:t xml:space="preserve">Three results have implications beyond this dataset.</w:t>
      </w:r>
    </w:p>
    <w:p>
      <w:pPr>
        <w:pStyle w:val="BodyText"/>
      </w:pPr>
      <w:r>
        <w:rPr>
          <w:b/>
          <w:bCs/>
        </w:rPr>
        <w:t xml:space="preserve">The date attached to a record is a modelling decision, not a bookkeeping detail.</w:t>
      </w:r>
      <w:r>
        <w:t xml:space="preserve"> </w:t>
      </w:r>
      <w:r>
        <w:t xml:space="preserve">Compilations of new distribution records are assembled from the published literature, and publication year is the field that primary sources report consistently. Our decomposition shows that using it inflates the apparent contribution of survey effort by 37% and manufactures an effect of annual climate variability that does not exist. The bias is directional and predictable: because publication year and observational capacity both trend upward, the misalignment always favours the covariate that trends with observer numbers. Any compilation-based analysis that reports an effort or sampling-intensity effect without discovery dates should be read with this in mind. Where discovery dates are unavailable, our completeness framework provides a partial remedy, but the first-order fix is to record and report the observation date.</w:t>
      </w:r>
    </w:p>
    <w:p>
      <w:pPr>
        <w:pStyle w:val="BodyText"/>
      </w:pPr>
      <w:r>
        <w:rPr>
          <w:b/>
          <w:bCs/>
        </w:rPr>
        <w:t xml:space="preserve">Accumulated warming is not a minor addition to a sampling story.</w:t>
      </w:r>
      <w:r>
        <w:t xml:space="preserve"> </w:t>
      </w:r>
      <w:r>
        <w:t xml:space="preserve">After correction, warming relative to a species’ historical range and survey effort contribute comparably to the hazard of a new provincial record, and warming discriminates slightly better between event and non-event cells. This is not a claim that new records are unbiased evidence of range expansion; the effort effect remains large, and the province-by-year variance component (standard deviation 0.804 on the latent scale) is the single largest source of heterogeneity in the model. Nor is the distance of the warming coefficient from unity the right measure of the species-specific signal: design-preserving nulls centre it on 1.157, so the increment attributable to referencing climate to each species’ own range is about 1.18. It is a claim that the climate signal is not an artefact of where people look, because it survives the inclusion of effort at four proxies, three missing-data rules, three candidate-pool definitions and a random structure that absorbs province-year observational shocks.</w:t>
      </w:r>
    </w:p>
    <w:p>
      <w:pPr>
        <w:pStyle w:val="BodyText"/>
      </w:pPr>
      <w:r>
        <w:t xml:space="preserve">The negative interaction refines this. Warming raises the hazard most where effort is low, and two non-exclusive readings fit: sparsely surveyed provinces are disproportionately western and montane, with steep climatic gradients; densely surveyed ones have already absorbed much of their Wallacean shortfall. The declining marginal return of effort supports the second. Distinguishing them requires detection probability conditional on presence, which provincial compilations do not provide. Projected forward, future record counts depend far more on survey effort than on the emissions pathway.</w:t>
      </w:r>
    </w:p>
    <w:p>
      <w:pPr>
        <w:pStyle w:val="BodyText"/>
      </w:pPr>
      <w:r>
        <w:rPr>
          <w:b/>
          <w:bCs/>
        </w:rPr>
        <w:t xml:space="preserve">Projection is limited by covariate support, not by scenario availability.</w:t>
      </w:r>
      <w:r>
        <w:t xml:space="preserve"> </w:t>
      </w:r>
      <w:r>
        <w:t xml:space="preserve">A fitted hazard model can be pushed through CMIP6 surfaces to 2080 to produce a map. Our support diagnostic shows that fewer than one in fifty species-province cells then resembles anything in the fitted data, because the species-specific climate gradient — a difference between two covarying anomalies — has a historical standard deviation an order of magnitude smaller than the future warming differentials imposed on it. The consequence is not merely wide uncertainty; it is that mechanistic and machine-learning models trained on identical data disagree on the direction of change in three quarters of cells. We recommend that projections of record generation, and of range-shift indicators built on species-specific climate differentials more generally, report the fraction of projected cells inside the fitted support as a matter of routine</w:t>
      </w:r>
      <w:r>
        <w:rPr>
          <w:rStyle w:val="FootnoteReference"/>
        </w:rPr>
        <w:footnoteReference w:id="25"/>
      </w:r>
      <w:r>
        <w:t xml:space="preserve">^. Where that fraction is small, the honest product is a near-term surface with an explicit support mask, not a century-scale map.</w:t>
      </w:r>
    </w:p>
    <w:p>
      <w:pPr>
        <w:pStyle w:val="BodyText"/>
      </w:pPr>
      <w:r>
        <w:rPr>
          <w:b/>
          <w:bCs/>
        </w:rPr>
        <w:t xml:space="preserve">Implications for monitoring.</w:t>
      </w:r>
      <w:r>
        <w:t xml:space="preserve"> </w:t>
      </w:r>
      <w:r>
        <w:t xml:space="preserve">Because a single province-year shock of one standard deviation multiplies the hazard by 2.23, more than either driver, targeted survey campaigns have large and immediate effects on the biodiversity record and should be allocated deliberately rather than opportunistically — preferentially to under-covered, climatically dynamic provinces, where the negative interaction implies more new documentation per unit effort. Because the marginal return of effort has declined measurably within two decades, monitoring programmes should expect diminishing returns and should not read a plateau in new records as evidence that redistribution has slowed.</w:t>
      </w:r>
    </w:p>
    <w:p>
      <w:pPr>
        <w:pStyle w:val="BodyText"/>
      </w:pPr>
      <w:r>
        <w:rPr>
          <w:b/>
          <w:bCs/>
        </w:rPr>
        <w:t xml:space="preserve">Limitations.</w:t>
      </w:r>
      <w:r>
        <w:t xml:space="preserve"> </w:t>
      </w:r>
      <w:r>
        <w:t xml:space="preserve">Our events are formal published records, not detections; a species present but undocumented contributes to the non-event cells, so all coefficients describe the generation of</w:t>
      </w:r>
      <w:r>
        <w:t xml:space="preserve"> </w:t>
      </w:r>
      <w:r>
        <w:rPr>
          <w:i/>
          <w:iCs/>
        </w:rPr>
        <w:t xml:space="preserve">documented</w:t>
      </w:r>
      <w:r>
        <w:t xml:space="preserve"> </w:t>
      </w:r>
      <w:r>
        <w:t xml:space="preserve">records rather than of range expansions per se. This is the sense in which our framing is deliberately narrower than an attribution claim. The effort panel is provincial and annual, which is coarse relative to the scale at which observers actually operate. The candidate pool is defined by species-distribution models, whose thresholds we varied but whose structural assumptions we did not. Vagrant taxa without established Chinese ranges were excluded, so our results describe range-margin dynamics rather than long-distance displacement. Finally, the discovery-year series is right-censored at its most recent end; the completeness offset corrects the expected hazard but cannot recover the individual records that have not yet been published.</w:t>
      </w:r>
    </w:p>
    <w:bookmarkEnd w:id="26"/>
    <w:bookmarkStart w:id="27" w:name="references"/>
    <w:p>
      <w:pPr>
        <w:pStyle w:val="Heading2"/>
      </w:pPr>
      <w:r>
        <w:t xml:space="preserve">References</w:t>
      </w:r>
    </w:p>
    <w:p>
      <w:pPr>
        <w:pStyle w:val="Compact"/>
        <w:numPr>
          <w:ilvl w:val="0"/>
          <w:numId w:val="1001"/>
        </w:numPr>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pStyle w:val="Compact"/>
        <w:numPr>
          <w:ilvl w:val="0"/>
          <w:numId w:val="1001"/>
        </w:numPr>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pStyle w:val="Compact"/>
        <w:numPr>
          <w:ilvl w:val="0"/>
          <w:numId w:val="1001"/>
        </w:numPr>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pStyle w:val="Compact"/>
        <w:numPr>
          <w:ilvl w:val="0"/>
          <w:numId w:val="1001"/>
        </w:numPr>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pStyle w:val="Compact"/>
        <w:numPr>
          <w:ilvl w:val="0"/>
          <w:numId w:val="1001"/>
        </w:numPr>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pStyle w:val="Compact"/>
        <w:numPr>
          <w:ilvl w:val="0"/>
          <w:numId w:val="1001"/>
        </w:numPr>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pStyle w:val="Compact"/>
        <w:numPr>
          <w:ilvl w:val="0"/>
          <w:numId w:val="1001"/>
        </w:numPr>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pStyle w:val="Compact"/>
        <w:numPr>
          <w:ilvl w:val="0"/>
          <w:numId w:val="1001"/>
        </w:numPr>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pStyle w:val="Compact"/>
        <w:numPr>
          <w:ilvl w:val="0"/>
          <w:numId w:val="1001"/>
        </w:numPr>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pStyle w:val="Compact"/>
        <w:numPr>
          <w:ilvl w:val="0"/>
          <w:numId w:val="1001"/>
        </w:numPr>
      </w:pPr>
      <w:r>
        <w:t xml:space="preserve">Ding, C., Ding, J., Qiao, H., Jiang, Z. &amp; Wang, Z. Taxonomic and spatiotemporal patterns and ecological correlates of new mammal distribution records in China.</w:t>
      </w:r>
      <w:r>
        <w:t xml:space="preserve"> </w:t>
      </w:r>
      <w:r>
        <w:rPr>
          <w:i/>
          <w:iCs/>
        </w:rPr>
        <w:t xml:space="preserve">Glob. Ecol. Biogeogr.</w:t>
      </w:r>
      <w:r>
        <w:t xml:space="preserve"> </w:t>
      </w:r>
      <w:r>
        <w:rPr>
          <w:b/>
          <w:bCs/>
        </w:rPr>
        <w:t xml:space="preserve">34</w:t>
      </w:r>
      <w:r>
        <w:t xml:space="preserve">, e70165 (2025). https://doi.org/10.1111/geb.70165</w:t>
      </w:r>
    </w:p>
    <w:p>
      <w:pPr>
        <w:pStyle w:val="Compact"/>
        <w:numPr>
          <w:ilvl w:val="0"/>
          <w:numId w:val="1001"/>
        </w:numPr>
      </w:pPr>
      <w:r>
        <w:t xml:space="preserve">Sullivan, B. L. et al. eBird: a citizen-based bird observation network in the biological sciences.</w:t>
      </w:r>
      <w:r>
        <w:t xml:space="preserve"> </w:t>
      </w:r>
      <w:r>
        <w:rPr>
          <w:i/>
          <w:iCs/>
        </w:rPr>
        <w:t xml:space="preserve">Biol. Conserv.</w:t>
      </w:r>
      <w:r>
        <w:t xml:space="preserve"> </w:t>
      </w:r>
      <w:r>
        <w:rPr>
          <w:b/>
          <w:bCs/>
        </w:rPr>
        <w:t xml:space="preserve">142</w:t>
      </w:r>
      <w:r>
        <w:t xml:space="preserve">, 2282–2292 (2009). https://doi.org/10.1016/j.biocon.2009.05.006</w:t>
      </w:r>
    </w:p>
    <w:p>
      <w:pPr>
        <w:pStyle w:val="Compact"/>
        <w:numPr>
          <w:ilvl w:val="0"/>
          <w:numId w:val="1001"/>
        </w:numPr>
      </w:pPr>
      <w:r>
        <w:t xml:space="preserve">Chandler, M. et al. Contribution of citizen science towards international biodiversity monitoring.</w:t>
      </w:r>
      <w:r>
        <w:t xml:space="preserve"> </w:t>
      </w:r>
      <w:r>
        <w:rPr>
          <w:i/>
          <w:iCs/>
        </w:rPr>
        <w:t xml:space="preserve">Biol. Conserv.</w:t>
      </w:r>
      <w:r>
        <w:t xml:space="preserve"> </w:t>
      </w:r>
      <w:r>
        <w:rPr>
          <w:b/>
          <w:bCs/>
        </w:rPr>
        <w:t xml:space="preserve">213</w:t>
      </w:r>
      <w:r>
        <w:t xml:space="preserve">, 280–294 (2017). https://doi.org/10.1016/j.biocon.2016.09.004</w:t>
      </w:r>
    </w:p>
    <w:p>
      <w:pPr>
        <w:pStyle w:val="Compact"/>
        <w:numPr>
          <w:ilvl w:val="0"/>
          <w:numId w:val="1001"/>
        </w:numPr>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pStyle w:val="Compact"/>
        <w:numPr>
          <w:ilvl w:val="0"/>
          <w:numId w:val="1001"/>
        </w:numPr>
      </w:pPr>
      <w:r>
        <w:t xml:space="preserve">MacKenzie, D. I. et al.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 https://doi.org/10.1890/0012-9658(2002)083[2248:ESORWD]2.0.CO;2</w:t>
      </w:r>
    </w:p>
    <w:p>
      <w:pPr>
        <w:pStyle w:val="Compact"/>
        <w:numPr>
          <w:ilvl w:val="0"/>
          <w:numId w:val="1001"/>
        </w:numPr>
      </w:pPr>
      <w:r>
        <w:t xml:space="preserve">Miller-ter Kuile, A. et al. If you’re rare, should I care? How imperfect detection changes relationships between biodiversity and global change drivers.</w:t>
      </w:r>
      <w:r>
        <w:t xml:space="preserve"> </w:t>
      </w:r>
      <w:r>
        <w:rPr>
          <w:i/>
          <w:iCs/>
        </w:rPr>
        <w:t xml:space="preserve">Glob. Change Biol.</w:t>
      </w:r>
      <w:r>
        <w:t xml:space="preserve"> </w:t>
      </w:r>
      <w:r>
        <w:rPr>
          <w:b/>
          <w:bCs/>
        </w:rPr>
        <w:t xml:space="preserve">31</w:t>
      </w:r>
      <w:r>
        <w:t xml:space="preserve">, e70362 (2025). https://doi.org/10.1111/gcb.70362</w:t>
      </w:r>
    </w:p>
    <w:p>
      <w:pPr>
        <w:pStyle w:val="Compact"/>
        <w:numPr>
          <w:ilvl w:val="0"/>
          <w:numId w:val="1001"/>
        </w:numPr>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pStyle w:val="Compact"/>
        <w:numPr>
          <w:ilvl w:val="0"/>
          <w:numId w:val="1001"/>
        </w:numPr>
      </w:pPr>
      <w:r>
        <w:t xml:space="preserve">Lahoz-Monfort, J. J. &amp; Magrath, M. J. L. A comprehensive overview of technologies for species and habitat monitoring and conservation.</w:t>
      </w:r>
      <w:r>
        <w:t xml:space="preserve"> </w:t>
      </w:r>
      <w:r>
        <w:rPr>
          <w:i/>
          <w:iCs/>
        </w:rPr>
        <w:t xml:space="preserve">BioScience</w:t>
      </w:r>
      <w:r>
        <w:t xml:space="preserve"> </w:t>
      </w:r>
      <w:r>
        <w:rPr>
          <w:b/>
          <w:bCs/>
        </w:rPr>
        <w:t xml:space="preserve">71</w:t>
      </w:r>
      <w:r>
        <w:t xml:space="preserve">, 1038–1062 (2021). https://doi.org/10.1093/biosci/biab073</w:t>
      </w:r>
    </w:p>
    <w:p>
      <w:pPr>
        <w:pStyle w:val="Compact"/>
        <w:numPr>
          <w:ilvl w:val="0"/>
          <w:numId w:val="1001"/>
        </w:numPr>
      </w:pPr>
      <w:r>
        <w:t xml:space="preserve">Burton, A. C. et al. Wildlife camera trapping: a review and recommendations for linking surveys to ecological processes.</w:t>
      </w:r>
      <w:r>
        <w:t xml:space="preserve"> </w:t>
      </w:r>
      <w:r>
        <w:rPr>
          <w:i/>
          <w:iCs/>
        </w:rPr>
        <w:t xml:space="preserve">J. Appl. Ecol.</w:t>
      </w:r>
      <w:r>
        <w:t xml:space="preserve"> </w:t>
      </w:r>
      <w:r>
        <w:rPr>
          <w:b/>
          <w:bCs/>
        </w:rPr>
        <w:t xml:space="preserve">52</w:t>
      </w:r>
      <w:r>
        <w:t xml:space="preserve">, 675–685 (2015). https://doi.org/10.1111/1365-2664.12432</w:t>
      </w:r>
    </w:p>
    <w:p>
      <w:pPr>
        <w:pStyle w:val="Compact"/>
        <w:numPr>
          <w:ilvl w:val="0"/>
          <w:numId w:val="1001"/>
        </w:numPr>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pStyle w:val="Compact"/>
        <w:numPr>
          <w:ilvl w:val="0"/>
          <w:numId w:val="1001"/>
        </w:numPr>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pStyle w:val="Compact"/>
        <w:numPr>
          <w:ilvl w:val="0"/>
          <w:numId w:val="1001"/>
        </w:numPr>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pStyle w:val="Compact"/>
        <w:numPr>
          <w:ilvl w:val="0"/>
          <w:numId w:val="1001"/>
        </w:numPr>
      </w:pPr>
      <w:r>
        <w:t xml:space="preserve">Beck, J., Böller, M., Erhardt, A. &amp; Schwanghart, W. Spatial bias in the GBIF database and its effect on modeling species’ geographic distributions.</w:t>
      </w:r>
      <w:r>
        <w:t xml:space="preserve"> </w:t>
      </w:r>
      <w:r>
        <w:rPr>
          <w:i/>
          <w:iCs/>
        </w:rPr>
        <w:t xml:space="preserve">Ecol. Inform.</w:t>
      </w:r>
      <w:r>
        <w:t xml:space="preserve"> </w:t>
      </w:r>
      <w:r>
        <w:rPr>
          <w:b/>
          <w:bCs/>
        </w:rPr>
        <w:t xml:space="preserve">19</w:t>
      </w:r>
      <w:r>
        <w:t xml:space="preserve">, 10–15 (2014). https://doi.org/10.1016/j.ecoinf.2013.11.002</w:t>
      </w:r>
    </w:p>
    <w:p>
      <w:pPr>
        <w:pStyle w:val="Compact"/>
        <w:numPr>
          <w:ilvl w:val="0"/>
          <w:numId w:val="1001"/>
        </w:numPr>
      </w:pPr>
      <w:r>
        <w:t xml:space="preserve">Meyer, C., Kreft, H., Guralnick, R. &amp; Jetz, W. Global priorities for an effective information basis of biodiversity distributions.</w:t>
      </w:r>
      <w:r>
        <w:t xml:space="preserve"> </w:t>
      </w:r>
      <w:r>
        <w:rPr>
          <w:i/>
          <w:iCs/>
        </w:rPr>
        <w:t xml:space="preserve">Nat. Commun.</w:t>
      </w:r>
      <w:r>
        <w:t xml:space="preserve"> </w:t>
      </w:r>
      <w:r>
        <w:rPr>
          <w:b/>
          <w:bCs/>
        </w:rPr>
        <w:t xml:space="preserve">6</w:t>
      </w:r>
      <w:r>
        <w:t xml:space="preserve">, 8221 (2015). https://doi.org/10.1038/ncomms9221</w:t>
      </w:r>
    </w:p>
    <w:p>
      <w:pPr>
        <w:pStyle w:val="Compact"/>
        <w:numPr>
          <w:ilvl w:val="0"/>
          <w:numId w:val="1001"/>
        </w:numPr>
      </w:pPr>
      <w:r>
        <w:t xml:space="preserve">Schrodt, F. et al. Advancing causal inference in ecology: pathways for biodiversity change detection and attribution.</w:t>
      </w:r>
      <w:r>
        <w:t xml:space="preserve"> </w:t>
      </w:r>
      <w:r>
        <w:rPr>
          <w:i/>
          <w:iCs/>
        </w:rPr>
        <w:t xml:space="preserve">Methods Ecol. Evol.</w:t>
      </w:r>
      <w:r>
        <w:t xml:space="preserve"> </w:t>
      </w:r>
      <w:r>
        <w:rPr>
          <w:b/>
          <w:bCs/>
        </w:rPr>
        <w:t xml:space="preserve">16</w:t>
      </w:r>
      <w:r>
        <w:t xml:space="preserve">, 2276–2304 (2025). https://doi.org/10.1111/2041-210X.70131</w:t>
      </w:r>
    </w:p>
    <w:p>
      <w:pPr>
        <w:pStyle w:val="Compact"/>
        <w:numPr>
          <w:ilvl w:val="0"/>
          <w:numId w:val="1001"/>
        </w:numPr>
      </w:pPr>
      <w:r>
        <w:t xml:space="preserve">Ding, C. et al. A dataset of provincial-level new distribution records for birds in China from 2000 to 2025.</w:t>
      </w:r>
      <w:r>
        <w:t xml:space="preserve"> </w:t>
      </w:r>
      <w:r>
        <w:rPr>
          <w:i/>
          <w:iCs/>
        </w:rPr>
        <w:t xml:space="preserve">Sci. Data</w:t>
      </w:r>
      <w:r>
        <w:t xml:space="preserve"> </w:t>
      </w:r>
      <w:r>
        <w:t xml:space="preserve">(submitted).</w:t>
      </w:r>
    </w:p>
    <w:p>
      <w:pPr>
        <w:pStyle w:val="Compact"/>
        <w:numPr>
          <w:ilvl w:val="0"/>
          <w:numId w:val="1001"/>
        </w:numPr>
      </w:pPr>
      <w:r>
        <w:t xml:space="preserve">Devictor, V., Julliard, R., Couvet, D. &amp; Jiguet, F. Birds are tracking climate warming, but not fast enough.</w:t>
      </w:r>
      <w:r>
        <w:t xml:space="preserve"> </w:t>
      </w:r>
      <w:r>
        <w:rPr>
          <w:i/>
          <w:iCs/>
        </w:rPr>
        <w:t xml:space="preserve">Proc. R. Soc. B</w:t>
      </w:r>
      <w:r>
        <w:t xml:space="preserve"> </w:t>
      </w:r>
      <w:r>
        <w:rPr>
          <w:b/>
          <w:bCs/>
        </w:rPr>
        <w:t xml:space="preserve">275</w:t>
      </w:r>
      <w:r>
        <w:t xml:space="preserve">, 2743–2748 (2008). https://doi.org/10.1098/rspb.2008.0878</w:t>
      </w:r>
    </w:p>
    <w:p>
      <w:pPr>
        <w:pStyle w:val="Compact"/>
        <w:numPr>
          <w:ilvl w:val="0"/>
          <w:numId w:val="1001"/>
        </w:numPr>
      </w:pPr>
      <w:r>
        <w:t xml:space="preserve">Devictor, V. et al. Differences in the climatic debts of birds and butterflies at a continental scale.</w:t>
      </w:r>
      <w:r>
        <w:t xml:space="preserve"> </w:t>
      </w:r>
      <w:r>
        <w:rPr>
          <w:i/>
          <w:iCs/>
        </w:rPr>
        <w:t xml:space="preserve">Nat. Clim. Change</w:t>
      </w:r>
      <w:r>
        <w:t xml:space="preserve"> </w:t>
      </w:r>
      <w:r>
        <w:rPr>
          <w:b/>
          <w:bCs/>
        </w:rPr>
        <w:t xml:space="preserve">2</w:t>
      </w:r>
      <w:r>
        <w:t xml:space="preserve">, 121–124 (2012). https://doi.org/10.1038/nclimate1347</w:t>
      </w:r>
    </w:p>
    <w:p>
      <w:pPr>
        <w:pStyle w:val="Compact"/>
        <w:numPr>
          <w:ilvl w:val="0"/>
          <w:numId w:val="1001"/>
        </w:numPr>
      </w:pPr>
      <w:r>
        <w:t xml:space="preserve">La Sorte, F. A. &amp; Thompson, F. R. Poleward shifts in winter ranges of North American birds.</w:t>
      </w:r>
      <w:r>
        <w:t xml:space="preserve"> </w:t>
      </w:r>
      <w:r>
        <w:rPr>
          <w:i/>
          <w:iCs/>
        </w:rPr>
        <w:t xml:space="preserve">Ecology</w:t>
      </w:r>
      <w:r>
        <w:t xml:space="preserve"> </w:t>
      </w:r>
      <w:r>
        <w:rPr>
          <w:b/>
          <w:bCs/>
        </w:rPr>
        <w:t xml:space="preserve">88</w:t>
      </w:r>
      <w:r>
        <w:t xml:space="preserve">, 1803–1812 (2007). https://doi.org/10.1890/06-1072.1</w:t>
      </w:r>
    </w:p>
    <w:p>
      <w:pPr>
        <w:pStyle w:val="Compact"/>
        <w:numPr>
          <w:ilvl w:val="0"/>
          <w:numId w:val="1001"/>
        </w:numPr>
      </w:pPr>
      <w:r>
        <w:t xml:space="preserve">Loarie, S. R. et al. The velocity of climate change.</w:t>
      </w:r>
      <w:r>
        <w:t xml:space="preserve"> </w:t>
      </w:r>
      <w:r>
        <w:rPr>
          <w:i/>
          <w:iCs/>
        </w:rPr>
        <w:t xml:space="preserve">Nature</w:t>
      </w:r>
      <w:r>
        <w:t xml:space="preserve"> </w:t>
      </w:r>
      <w:r>
        <w:rPr>
          <w:b/>
          <w:bCs/>
        </w:rPr>
        <w:t xml:space="preserve">462</w:t>
      </w:r>
      <w:r>
        <w:t xml:space="preserve">, 1052–1055 (2009). https://doi.org/10.1038/nature08649</w:t>
      </w:r>
    </w:p>
    <w:p>
      <w:pPr>
        <w:pStyle w:val="Compact"/>
        <w:numPr>
          <w:ilvl w:val="0"/>
          <w:numId w:val="1001"/>
        </w:numPr>
      </w:pPr>
      <w:r>
        <w:t xml:space="preserve">Burrows, M. T. et al. The pace of shifting climate in marine and terrestrial ecosystems.</w:t>
      </w:r>
      <w:r>
        <w:t xml:space="preserve"> </w:t>
      </w:r>
      <w:r>
        <w:rPr>
          <w:i/>
          <w:iCs/>
        </w:rPr>
        <w:t xml:space="preserve">Science</w:t>
      </w:r>
      <w:r>
        <w:t xml:space="preserve"> </w:t>
      </w:r>
      <w:r>
        <w:rPr>
          <w:b/>
          <w:bCs/>
        </w:rPr>
        <w:t xml:space="preserve">334</w:t>
      </w:r>
      <w:r>
        <w:t xml:space="preserve">, 652–655 (2011). https://doi.org/10.1126/science.1210288</w:t>
      </w:r>
    </w:p>
    <w:p>
      <w:pPr>
        <w:pStyle w:val="Compact"/>
        <w:numPr>
          <w:ilvl w:val="0"/>
          <w:numId w:val="1001"/>
        </w:numPr>
      </w:pPr>
      <w:r>
        <w:t xml:space="preserve">Pinsky, M. L., Worm, B., Fogarty, M. J., Sarmiento, J. L. &amp; Levin, S. A. Marine taxa track local climate velocities.</w:t>
      </w:r>
      <w:r>
        <w:t xml:space="preserve"> </w:t>
      </w:r>
      <w:r>
        <w:rPr>
          <w:i/>
          <w:iCs/>
        </w:rPr>
        <w:t xml:space="preserve">Science</w:t>
      </w:r>
      <w:r>
        <w:t xml:space="preserve"> </w:t>
      </w:r>
      <w:r>
        <w:rPr>
          <w:b/>
          <w:bCs/>
        </w:rPr>
        <w:t xml:space="preserve">341</w:t>
      </w:r>
      <w:r>
        <w:t xml:space="preserve">, 1239–1242 (2013). https://doi.org/10.1126/science.1239352</w:t>
      </w:r>
    </w:p>
    <w:p>
      <w:pPr>
        <w:pStyle w:val="Compact"/>
        <w:numPr>
          <w:ilvl w:val="0"/>
          <w:numId w:val="1001"/>
        </w:numPr>
      </w:pPr>
      <w:r>
        <w:t xml:space="preserve">Poloczanska, E. S. et al. Global imprint of climate change on marine life.</w:t>
      </w:r>
      <w:r>
        <w:t xml:space="preserve"> </w:t>
      </w:r>
      <w:r>
        <w:rPr>
          <w:i/>
          <w:iCs/>
        </w:rPr>
        <w:t xml:space="preserve">Nat. Clim. Change</w:t>
      </w:r>
      <w:r>
        <w:t xml:space="preserve"> </w:t>
      </w:r>
      <w:r>
        <w:rPr>
          <w:b/>
          <w:bCs/>
        </w:rPr>
        <w:t xml:space="preserve">3</w:t>
      </w:r>
      <w:r>
        <w:t xml:space="preserve">, 919–925 (2013). https://doi.org/10.1038/nclimate1958</w:t>
      </w:r>
    </w:p>
    <w:p>
      <w:pPr>
        <w:pStyle w:val="Compact"/>
        <w:numPr>
          <w:ilvl w:val="0"/>
          <w:numId w:val="1001"/>
        </w:numPr>
      </w:pPr>
      <w:r>
        <w:t xml:space="preserve">Williams, J. W. &amp; Jackson, S. T. Novel climates, no-analog communities, and ecological surprises.</w:t>
      </w:r>
      <w:r>
        <w:t xml:space="preserve"> </w:t>
      </w:r>
      <w:r>
        <w:rPr>
          <w:i/>
          <w:iCs/>
        </w:rPr>
        <w:t xml:space="preserve">Front. Ecol. Environ.</w:t>
      </w:r>
      <w:r>
        <w:t xml:space="preserve"> </w:t>
      </w:r>
      <w:r>
        <w:rPr>
          <w:b/>
          <w:bCs/>
        </w:rPr>
        <w:t xml:space="preserve">5</w:t>
      </w:r>
      <w:r>
        <w:t xml:space="preserve">, 475–482 (2007). https://doi.org/10.1890/070037</w:t>
      </w:r>
    </w:p>
    <w:p>
      <w:pPr>
        <w:pStyle w:val="Compact"/>
        <w:numPr>
          <w:ilvl w:val="0"/>
          <w:numId w:val="1001"/>
        </w:numPr>
      </w:pPr>
      <w:r>
        <w:t xml:space="preserve">Mahony, C. R., Cannon, A. J., Wang, T. &amp; Aitken, S. N. A closer look at novel climates: new methods and insights at continental to landscape scales.</w:t>
      </w:r>
      <w:r>
        <w:t xml:space="preserve"> </w:t>
      </w:r>
      <w:r>
        <w:rPr>
          <w:i/>
          <w:iCs/>
        </w:rPr>
        <w:t xml:space="preserve">Glob. Change Biol.</w:t>
      </w:r>
      <w:r>
        <w:t xml:space="preserve"> </w:t>
      </w:r>
      <w:r>
        <w:rPr>
          <w:b/>
          <w:bCs/>
        </w:rPr>
        <w:t xml:space="preserve">23</w:t>
      </w:r>
      <w:r>
        <w:t xml:space="preserve">, 3934–3955 (2017). https://doi.org/10.1111/gcb.13645</w:t>
      </w:r>
    </w:p>
    <w:p>
      <w:pPr>
        <w:pStyle w:val="Compact"/>
        <w:numPr>
          <w:ilvl w:val="0"/>
          <w:numId w:val="1001"/>
        </w:numPr>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pStyle w:val="Compact"/>
        <w:numPr>
          <w:ilvl w:val="0"/>
          <w:numId w:val="1001"/>
        </w:numPr>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pStyle w:val="Compact"/>
        <w:numPr>
          <w:ilvl w:val="0"/>
          <w:numId w:val="1001"/>
        </w:numPr>
      </w:pPr>
      <w:r>
        <w:t xml:space="preserve">Xing, X. et al. Where are the provincial-level new records in China from the past 20 years?</w:t>
      </w:r>
      <w:r>
        <w:t xml:space="preserve"> </w:t>
      </w:r>
      <w:r>
        <w:rPr>
          <w:i/>
          <w:iCs/>
        </w:rPr>
        <w:t xml:space="preserve">Front. Ecol. Evol.</w:t>
      </w:r>
      <w:r>
        <w:t xml:space="preserve"> </w:t>
      </w:r>
      <w:r>
        <w:rPr>
          <w:b/>
          <w:bCs/>
        </w:rPr>
        <w:t xml:space="preserve">12</w:t>
      </w:r>
      <w:r>
        <w:t xml:space="preserve">, 1415268 (2024). https://doi.org/10.3389/fevo.2024.1415268</w:t>
      </w:r>
    </w:p>
    <w:p>
      <w:pPr>
        <w:pStyle w:val="Compact"/>
        <w:numPr>
          <w:ilvl w:val="0"/>
          <w:numId w:val="1001"/>
        </w:numPr>
      </w:pPr>
      <w:r>
        <w:t xml:space="preserve">Guillera-Arroita, G. Modelling of species distributions, range dynamics and communities under imperfect detection: advances, challenges and opportunities.</w:t>
      </w:r>
      <w:r>
        <w:t xml:space="preserve"> </w:t>
      </w:r>
      <w:r>
        <w:rPr>
          <w:i/>
          <w:iCs/>
        </w:rPr>
        <w:t xml:space="preserve">Ecography</w:t>
      </w:r>
      <w:r>
        <w:t xml:space="preserve"> </w:t>
      </w:r>
      <w:r>
        <w:rPr>
          <w:b/>
          <w:bCs/>
        </w:rPr>
        <w:t xml:space="preserve">40</w:t>
      </w:r>
      <w:r>
        <w:t xml:space="preserve">, 281–295 (2017). https://doi.org/10.1111/ecog.02445</w:t>
      </w:r>
    </w:p>
    <w:p>
      <w:pPr>
        <w:pStyle w:val="Compact"/>
        <w:numPr>
          <w:ilvl w:val="0"/>
          <w:numId w:val="1001"/>
        </w:numPr>
      </w:pPr>
      <w:r>
        <w:t xml:space="preserve">Rumpf, S. B. et al. Range dynamics of mountain plants decrease with elevation.</w:t>
      </w:r>
      <w:r>
        <w:t xml:space="preserve"> </w:t>
      </w:r>
      <w:r>
        <w:rPr>
          <w:i/>
          <w:iCs/>
        </w:rPr>
        <w:t xml:space="preserve">Proc. Natl Acad. Sci. USA</w:t>
      </w:r>
      <w:r>
        <w:t xml:space="preserve"> </w:t>
      </w:r>
      <w:r>
        <w:rPr>
          <w:b/>
          <w:bCs/>
        </w:rPr>
        <w:t xml:space="preserve">115</w:t>
      </w:r>
      <w:r>
        <w:t xml:space="preserve">, 1848–1853 (2018). https://doi.org/10.1073/pnas.1713936115</w:t>
      </w:r>
    </w:p>
    <w:p>
      <w:pPr>
        <w:pStyle w:val="Compact"/>
        <w:numPr>
          <w:ilvl w:val="0"/>
          <w:numId w:val="1001"/>
        </w:numPr>
      </w:pPr>
      <w:r>
        <w:t xml:space="preserve">Freeman, B. G., Scholer, M. N., Ruiz-Gutierrez, V. &amp; Fitzpatrick, J. W. Climate change causes upslope shifts and mountaintop extirpations in a tropical bird community.</w:t>
      </w:r>
      <w:r>
        <w:t xml:space="preserve"> </w:t>
      </w:r>
      <w:r>
        <w:rPr>
          <w:i/>
          <w:iCs/>
        </w:rPr>
        <w:t xml:space="preserve">Proc. Natl Acad. Sci. USA</w:t>
      </w:r>
      <w:r>
        <w:t xml:space="preserve"> </w:t>
      </w:r>
      <w:r>
        <w:rPr>
          <w:b/>
          <w:bCs/>
        </w:rPr>
        <w:t xml:space="preserve">115</w:t>
      </w:r>
      <w:r>
        <w:t xml:space="preserve">, 11982–11987 (2018). https://doi.org/10.1073/pnas.1804224115</w:t>
      </w:r>
    </w:p>
    <w:p>
      <w:pPr>
        <w:pStyle w:val="Compact"/>
        <w:numPr>
          <w:ilvl w:val="0"/>
          <w:numId w:val="1001"/>
        </w:numPr>
      </w:pPr>
      <w:r>
        <w:t xml:space="preserve">Mi, X. et al. The global significance of biodiversity science in China: an overview.</w:t>
      </w:r>
      <w:r>
        <w:t xml:space="preserve"> </w:t>
      </w:r>
      <w:r>
        <w:rPr>
          <w:i/>
          <w:iCs/>
        </w:rPr>
        <w:t xml:space="preserve">Natl Sci. Rev.</w:t>
      </w:r>
      <w:r>
        <w:t xml:space="preserve"> </w:t>
      </w:r>
      <w:r>
        <w:rPr>
          <w:b/>
          <w:bCs/>
        </w:rPr>
        <w:t xml:space="preserve">8</w:t>
      </w:r>
      <w:r>
        <w:t xml:space="preserve">, nwab032 (2021). https://doi.org/10.1093/nsr/nwab032</w:t>
      </w:r>
    </w:p>
    <w:p>
      <w:pPr>
        <w:pStyle w:val="Compact"/>
        <w:numPr>
          <w:ilvl w:val="0"/>
          <w:numId w:val="1001"/>
        </w:numPr>
      </w:pPr>
      <w:r>
        <w:t xml:space="preserve">Amano, T., Lamming, J. D. L. &amp; Sutherland, W. J. Spatial gaps in global biodiversity information and the role of citizen science.</w:t>
      </w:r>
      <w:r>
        <w:t xml:space="preserve"> </w:t>
      </w:r>
      <w:r>
        <w:rPr>
          <w:i/>
          <w:iCs/>
        </w:rPr>
        <w:t xml:space="preserve">BioScience</w:t>
      </w:r>
      <w:r>
        <w:t xml:space="preserve"> </w:t>
      </w:r>
      <w:r>
        <w:rPr>
          <w:b/>
          <w:bCs/>
        </w:rPr>
        <w:t xml:space="preserve">66</w:t>
      </w:r>
      <w:r>
        <w:t xml:space="preserve">, 393–400 (2016). https://doi.org/10.1093/biosci/biw022</w:t>
      </w:r>
    </w:p>
    <w:p>
      <w:pPr>
        <w:pStyle w:val="Compact"/>
        <w:numPr>
          <w:ilvl w:val="0"/>
          <w:numId w:val="1001"/>
        </w:numPr>
      </w:pPr>
      <w:r>
        <w:t xml:space="preserve">Callaghan, C. T., Poore, A. G. B., Major, R. E., Rowley, J. J. L. &amp; Cornwell, W. K. Optimizing future biodiversity sampling by citizen scientists.</w:t>
      </w:r>
      <w:r>
        <w:t xml:space="preserve"> </w:t>
      </w:r>
      <w:r>
        <w:rPr>
          <w:i/>
          <w:iCs/>
        </w:rPr>
        <w:t xml:space="preserve">Proc. R. Soc. B</w:t>
      </w:r>
      <w:r>
        <w:t xml:space="preserve"> </w:t>
      </w:r>
      <w:r>
        <w:rPr>
          <w:b/>
          <w:bCs/>
        </w:rPr>
        <w:t xml:space="preserve">286</w:t>
      </w:r>
      <w:r>
        <w:t xml:space="preserve">, 20191487 (2019). https://doi.org/10.1098/rspb.2019.1487</w:t>
      </w:r>
    </w:p>
    <w:p>
      <w:pPr>
        <w:pStyle w:val="Compact"/>
        <w:numPr>
          <w:ilvl w:val="0"/>
          <w:numId w:val="1001"/>
        </w:numPr>
      </w:pPr>
      <w:r>
        <w:t xml:space="preserve">Kelling, S. et al.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 https://doi.org/10.1093/biosci/biz010</w:t>
      </w:r>
    </w:p>
    <w:p>
      <w:pPr>
        <w:pStyle w:val="Compact"/>
        <w:numPr>
          <w:ilvl w:val="0"/>
          <w:numId w:val="1001"/>
        </w:numPr>
      </w:pPr>
      <w:r>
        <w:t xml:space="preserve">Dickinson, J. L., Zuckerberg, B. &amp; Bonter, D. N. Citizen science as an ecological research tool: challenges and benefits.</w:t>
      </w:r>
      <w:r>
        <w:t xml:space="preserve"> </w:t>
      </w:r>
      <w:r>
        <w:rPr>
          <w:i/>
          <w:iCs/>
        </w:rPr>
        <w:t xml:space="preserve">Annu. Rev. Ecol. Evol. Syst.</w:t>
      </w:r>
      <w:r>
        <w:t xml:space="preserve"> </w:t>
      </w:r>
      <w:r>
        <w:rPr>
          <w:b/>
          <w:bCs/>
        </w:rPr>
        <w:t xml:space="preserve">41</w:t>
      </w:r>
      <w:r>
        <w:t xml:space="preserve">, 149–172 (2010). https://doi.org/10.1146/annurev-ecolsys-102209-144636</w:t>
      </w:r>
    </w:p>
    <w:p>
      <w:pPr>
        <w:pStyle w:val="Compact"/>
        <w:numPr>
          <w:ilvl w:val="0"/>
          <w:numId w:val="1001"/>
        </w:numPr>
      </w:pPr>
      <w:r>
        <w:t xml:space="preserve">Bowler, D. E. et al. Mapping human pressures on biodiversity across the planet uncovers anthropogenic threat complexes.</w:t>
      </w:r>
      <w:r>
        <w:t xml:space="preserve"> </w:t>
      </w:r>
      <w:r>
        <w:rPr>
          <w:i/>
          <w:iCs/>
        </w:rPr>
        <w:t xml:space="preserve">People Nat.</w:t>
      </w:r>
      <w:r>
        <w:t xml:space="preserve"> </w:t>
      </w:r>
      <w:r>
        <w:rPr>
          <w:b/>
          <w:bCs/>
        </w:rPr>
        <w:t xml:space="preserve">2</w:t>
      </w:r>
      <w:r>
        <w:t xml:space="preserve">, 380–394 (2020). https://doi.org/10.1002/pan3.10071</w:t>
      </w:r>
    </w:p>
    <w:p>
      <w:pPr>
        <w:pStyle w:val="Compact"/>
        <w:numPr>
          <w:ilvl w:val="0"/>
          <w:numId w:val="1001"/>
        </w:numPr>
      </w:pPr>
      <w:r>
        <w:t xml:space="preserve">Sunday, J. M., Bates, A. E. &amp; Dulvy, N. K. Thermal tolerance and the global redistribution of animals.</w:t>
      </w:r>
      <w:r>
        <w:t xml:space="preserve"> </w:t>
      </w:r>
      <w:r>
        <w:rPr>
          <w:i/>
          <w:iCs/>
        </w:rPr>
        <w:t xml:space="preserve">Nat. Clim. Change</w:t>
      </w:r>
      <w:r>
        <w:t xml:space="preserve"> </w:t>
      </w:r>
      <w:r>
        <w:rPr>
          <w:b/>
          <w:bCs/>
        </w:rPr>
        <w:t xml:space="preserve">2</w:t>
      </w:r>
      <w:r>
        <w:t xml:space="preserve">, 686–690 (2012). https://doi.org/10.1038/nclimate1539</w:t>
      </w:r>
    </w:p>
    <w:p>
      <w:pPr>
        <w:pStyle w:val="Compact"/>
        <w:numPr>
          <w:ilvl w:val="0"/>
          <w:numId w:val="1001"/>
        </w:numPr>
      </w:pPr>
      <w:r>
        <w:t xml:space="preserve">Guisan, A. &amp; Thuiller, W. Predicting species distribution: offering more than simple habitat models.</w:t>
      </w:r>
      <w:r>
        <w:t xml:space="preserve"> </w:t>
      </w:r>
      <w:r>
        <w:rPr>
          <w:i/>
          <w:iCs/>
        </w:rPr>
        <w:t xml:space="preserve">Ecol. Lett.</w:t>
      </w:r>
      <w:r>
        <w:t xml:space="preserve"> </w:t>
      </w:r>
      <w:r>
        <w:rPr>
          <w:b/>
          <w:bCs/>
        </w:rPr>
        <w:t xml:space="preserve">8</w:t>
      </w:r>
      <w:r>
        <w:t xml:space="preserve">, 993–1009 (2005). https://doi.org/10.1111/j.1461-0248.2005.00792.x</w:t>
      </w:r>
    </w:p>
    <w:p>
      <w:pPr>
        <w:pStyle w:val="Compact"/>
        <w:numPr>
          <w:ilvl w:val="0"/>
          <w:numId w:val="1001"/>
        </w:numPr>
      </w:pPr>
      <w:r>
        <w:t xml:space="preserve">Elith, J., Phillips, S. J., Hastie, T., Dudík, M., Chee, Y. E. &amp; Yates, C. J. A statistical explanation of MaxEnt for ecologists.</w:t>
      </w:r>
      <w:r>
        <w:t xml:space="preserve"> </w:t>
      </w:r>
      <w:r>
        <w:rPr>
          <w:i/>
          <w:iCs/>
        </w:rPr>
        <w:t xml:space="preserve">Divers. Distrib.</w:t>
      </w:r>
      <w:r>
        <w:t xml:space="preserve"> </w:t>
      </w:r>
      <w:r>
        <w:rPr>
          <w:b/>
          <w:bCs/>
        </w:rPr>
        <w:t xml:space="preserve">17</w:t>
      </w:r>
      <w:r>
        <w:t xml:space="preserve">, 43–57 (2011). https://doi.org/10.1111/j.1472-4642.2010.00725.x</w:t>
      </w:r>
    </w:p>
    <w:p>
      <w:pPr>
        <w:pStyle w:val="Compact"/>
        <w:numPr>
          <w:ilvl w:val="0"/>
          <w:numId w:val="1001"/>
        </w:numPr>
      </w:pPr>
      <w:r>
        <w:t xml:space="preserve">Guillera-Arroita, G. et al. Is my species distribution model fit for purpose? Matching data and models to applications.</w:t>
      </w:r>
      <w:r>
        <w:t xml:space="preserve"> </w:t>
      </w:r>
      <w:r>
        <w:rPr>
          <w:i/>
          <w:iCs/>
        </w:rPr>
        <w:t xml:space="preserve">Glob. Ecol. Biogeogr.</w:t>
      </w:r>
      <w:r>
        <w:t xml:space="preserve"> </w:t>
      </w:r>
      <w:r>
        <w:rPr>
          <w:b/>
          <w:bCs/>
        </w:rPr>
        <w:t xml:space="preserve">24</w:t>
      </w:r>
      <w:r>
        <w:t xml:space="preserve">, 276–292 (2015). https://doi.org/10.1111/geb.12268</w:t>
      </w:r>
    </w:p>
    <w:p>
      <w:pPr>
        <w:pStyle w:val="Compact"/>
        <w:numPr>
          <w:ilvl w:val="0"/>
          <w:numId w:val="1001"/>
        </w:numPr>
      </w:pPr>
      <w:r>
        <w:t xml:space="preserve">Phillips, S. J. et al. Sample selection bias and presence-only distribution models: implications for background and pseudo-absence data.</w:t>
      </w:r>
      <w:r>
        <w:t xml:space="preserve"> </w:t>
      </w:r>
      <w:r>
        <w:rPr>
          <w:i/>
          <w:iCs/>
        </w:rPr>
        <w:t xml:space="preserve">Ecol. Appl.</w:t>
      </w:r>
      <w:r>
        <w:t xml:space="preserve"> </w:t>
      </w:r>
      <w:r>
        <w:rPr>
          <w:b/>
          <w:bCs/>
        </w:rPr>
        <w:t xml:space="preserve">19</w:t>
      </w:r>
      <w:r>
        <w:t xml:space="preserve">, 181–197 (2009). https://doi.org/10.1890/07-2153.1</w:t>
      </w:r>
    </w:p>
    <w:p>
      <w:pPr>
        <w:pStyle w:val="Compact"/>
        <w:numPr>
          <w:ilvl w:val="0"/>
          <w:numId w:val="1001"/>
        </w:numPr>
      </w:pPr>
      <w:r>
        <w:t xml:space="preserve">Johnston, A. et al. Analytical guidelines to increase the value of community science data: an example using eBird data to estimate species distributions.</w:t>
      </w:r>
      <w:r>
        <w:t xml:space="preserve"> </w:t>
      </w:r>
      <w:r>
        <w:rPr>
          <w:i/>
          <w:iCs/>
        </w:rPr>
        <w:t xml:space="preserve">Divers. Distrib.</w:t>
      </w:r>
      <w:r>
        <w:t xml:space="preserve"> </w:t>
      </w:r>
      <w:r>
        <w:rPr>
          <w:b/>
          <w:bCs/>
        </w:rPr>
        <w:t xml:space="preserve">27</w:t>
      </w:r>
      <w:r>
        <w:t xml:space="preserve">, 1265–1277 (2021). https://doi.org/10.1111/ddi.13271</w:t>
      </w:r>
    </w:p>
    <w:p>
      <w:pPr>
        <w:pStyle w:val="Compact"/>
        <w:numPr>
          <w:ilvl w:val="0"/>
          <w:numId w:val="1001"/>
        </w:numPr>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pStyle w:val="Compact"/>
        <w:numPr>
          <w:ilvl w:val="0"/>
          <w:numId w:val="1001"/>
        </w:numPr>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pStyle w:val="Compact"/>
        <w:numPr>
          <w:ilvl w:val="0"/>
          <w:numId w:val="1001"/>
        </w:numPr>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pStyle w:val="Compact"/>
        <w:numPr>
          <w:ilvl w:val="0"/>
          <w:numId w:val="1001"/>
        </w:numPr>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pStyle w:val="Compact"/>
        <w:numPr>
          <w:ilvl w:val="0"/>
          <w:numId w:val="1001"/>
        </w:numPr>
      </w:pPr>
      <w:r>
        <w:t xml:space="preserve">Pebesma, E. Simple Features for R: standardized support for spatial vector data.</w:t>
      </w:r>
      <w:r>
        <w:t xml:space="preserve"> </w:t>
      </w:r>
      <w:r>
        <w:rPr>
          <w:i/>
          <w:iCs/>
        </w:rPr>
        <w:t xml:space="preserve">R J.</w:t>
      </w:r>
      <w:r>
        <w:t xml:space="preserve"> </w:t>
      </w:r>
      <w:r>
        <w:rPr>
          <w:b/>
          <w:bCs/>
        </w:rPr>
        <w:t xml:space="preserve">10</w:t>
      </w:r>
      <w:r>
        <w:t xml:space="preserve">, 439–446 (2018). https://doi.org/10.32614/RJ-2018-009</w:t>
      </w:r>
    </w:p>
    <w:p>
      <w:pPr>
        <w:pStyle w:val="Compact"/>
        <w:numPr>
          <w:ilvl w:val="0"/>
          <w:numId w:val="1001"/>
        </w:numPr>
      </w:pPr>
      <w:r>
        <w:t xml:space="preserve">Lenoir, J. et al. Species better track climate warming in the oceans than on land.</w:t>
      </w:r>
      <w:r>
        <w:t xml:space="preserve"> </w:t>
      </w:r>
      <w:r>
        <w:rPr>
          <w:i/>
          <w:iCs/>
        </w:rPr>
        <w:t xml:space="preserve">Nat. Ecol. Evol.</w:t>
      </w:r>
      <w:r>
        <w:t xml:space="preserve"> </w:t>
      </w:r>
      <w:r>
        <w:rPr>
          <w:b/>
          <w:bCs/>
        </w:rPr>
        <w:t xml:space="preserve">4</w:t>
      </w:r>
      <w:r>
        <w:t xml:space="preserve">, 1044–1059 (2020). https://doi.org/10.1038/s41559-020-1198-2</w:t>
      </w:r>
    </w:p>
    <w:p>
      <w:pPr>
        <w:pStyle w:val="Compact"/>
        <w:numPr>
          <w:ilvl w:val="0"/>
          <w:numId w:val="1001"/>
        </w:numPr>
      </w:pPr>
      <w:r>
        <w:t xml:space="preserve">Scheffers, B. R. et al. The broad footprint of climate change from genes to biomes to people.</w:t>
      </w:r>
      <w:r>
        <w:t xml:space="preserve"> </w:t>
      </w:r>
      <w:r>
        <w:rPr>
          <w:i/>
          <w:iCs/>
        </w:rPr>
        <w:t xml:space="preserve">Science</w:t>
      </w:r>
      <w:r>
        <w:t xml:space="preserve"> </w:t>
      </w:r>
      <w:r>
        <w:rPr>
          <w:b/>
          <w:bCs/>
        </w:rPr>
        <w:t xml:space="preserve">354</w:t>
      </w:r>
      <w:r>
        <w:t xml:space="preserve">, aaf7671 (2016). https://doi.org/10.1126/science.aaf7671</w:t>
      </w:r>
    </w:p>
    <w:p>
      <w:pPr>
        <w:pStyle w:val="Compact"/>
        <w:numPr>
          <w:ilvl w:val="0"/>
          <w:numId w:val="1001"/>
        </w:numPr>
      </w:pPr>
      <w:r>
        <w:t xml:space="preserve">Román-Palacios, C. &amp; Wiens, J. J. Recent responses to climate change reveal the drivers of species extinction and survival.</w:t>
      </w:r>
      <w:r>
        <w:t xml:space="preserve"> </w:t>
      </w:r>
      <w:r>
        <w:rPr>
          <w:i/>
          <w:iCs/>
        </w:rPr>
        <w:t xml:space="preserve">Proc. Natl Acad. Sci. USA</w:t>
      </w:r>
      <w:r>
        <w:t xml:space="preserve"> </w:t>
      </w:r>
      <w:r>
        <w:rPr>
          <w:b/>
          <w:bCs/>
        </w:rPr>
        <w:t xml:space="preserve">117</w:t>
      </w:r>
      <w:r>
        <w:t xml:space="preserve">, 4211–4217 (2020). https://doi.org/10.1073/pnas.1913007117</w:t>
      </w:r>
    </w:p>
    <w:p>
      <w:pPr>
        <w:pStyle w:val="Compact"/>
        <w:numPr>
          <w:ilvl w:val="0"/>
          <w:numId w:val="1001"/>
        </w:numPr>
      </w:pPr>
      <w:r>
        <w:t xml:space="preserve">Lehikoinen, A. et al. Declining population trends of European mountain birds.</w:t>
      </w:r>
      <w:r>
        <w:t xml:space="preserve"> </w:t>
      </w:r>
      <w:r>
        <w:rPr>
          <w:i/>
          <w:iCs/>
        </w:rPr>
        <w:t xml:space="preserve">Glob. Change Biol.</w:t>
      </w:r>
      <w:r>
        <w:t xml:space="preserve"> </w:t>
      </w:r>
      <w:r>
        <w:rPr>
          <w:b/>
          <w:bCs/>
        </w:rPr>
        <w:t xml:space="preserve">25</w:t>
      </w:r>
      <w:r>
        <w:t xml:space="preserve">, 577–588 (2019). https://doi.org/10.1111/gcb.14522</w:t>
      </w:r>
    </w:p>
    <w:p>
      <w:pPr>
        <w:pStyle w:val="Compact"/>
        <w:numPr>
          <w:ilvl w:val="0"/>
          <w:numId w:val="1001"/>
        </w:numPr>
      </w:pPr>
      <w:r>
        <w:t xml:space="preserve">Rosenberg, K. V. et al. Decline of the North American avifauna.</w:t>
      </w:r>
      <w:r>
        <w:t xml:space="preserve"> </w:t>
      </w:r>
      <w:r>
        <w:rPr>
          <w:i/>
          <w:iCs/>
        </w:rPr>
        <w:t xml:space="preserve">Science</w:t>
      </w:r>
      <w:r>
        <w:t xml:space="preserve"> </w:t>
      </w:r>
      <w:r>
        <w:rPr>
          <w:b/>
          <w:bCs/>
        </w:rPr>
        <w:t xml:space="preserve">366</w:t>
      </w:r>
      <w:r>
        <w:t xml:space="preserve">, 120–124 (2019). https://doi.org/10.1126/science.aaw1313</w:t>
      </w:r>
    </w:p>
    <w:p>
      <w:pPr>
        <w:pStyle w:val="Compact"/>
        <w:numPr>
          <w:ilvl w:val="0"/>
          <w:numId w:val="1001"/>
        </w:numPr>
      </w:pPr>
      <w:r>
        <w:t xml:space="preserve">van Strien, A. J., van Swaay, C. A. M. &amp; Termaat, T. Opportunistic citizen science data of animal species produce reliable estimates of distribution trends if analysed with occupancy models.</w:t>
      </w:r>
      <w:r>
        <w:t xml:space="preserve"> </w:t>
      </w:r>
      <w:r>
        <w:rPr>
          <w:i/>
          <w:iCs/>
        </w:rPr>
        <w:t xml:space="preserve">J. Appl. Ecol.</w:t>
      </w:r>
      <w:r>
        <w:t xml:space="preserve"> </w:t>
      </w:r>
      <w:r>
        <w:rPr>
          <w:b/>
          <w:bCs/>
        </w:rPr>
        <w:t xml:space="preserve">50</w:t>
      </w:r>
      <w:r>
        <w:t xml:space="preserve">, 1450–1458 (2013). https://doi.org/10.1111/1365-2664.12158</w:t>
      </w:r>
    </w:p>
    <w:p>
      <w:pPr>
        <w:pStyle w:val="Compact"/>
        <w:numPr>
          <w:ilvl w:val="0"/>
          <w:numId w:val="1001"/>
        </w:numPr>
      </w:pPr>
      <w:r>
        <w:t xml:space="preserve">Kéry, M., Royle, J. A., Schmid, H. et al. Importance of sampling design and analysis in animal population studies.</w:t>
      </w:r>
      <w:r>
        <w:t xml:space="preserve"> </w:t>
      </w:r>
      <w:r>
        <w:rPr>
          <w:i/>
          <w:iCs/>
        </w:rPr>
        <w:t xml:space="preserve">J. Appl. Ecol.</w:t>
      </w:r>
      <w:r>
        <w:t xml:space="preserve"> </w:t>
      </w:r>
      <w:r>
        <w:rPr>
          <w:b/>
          <w:bCs/>
        </w:rPr>
        <w:t xml:space="preserve">45</w:t>
      </w:r>
      <w:r>
        <w:t xml:space="preserve">, 981–986 (2008). https://doi.org/10.1111/j.1365-2664.2007.01421.x</w:t>
      </w:r>
    </w:p>
    <w:p>
      <w:pPr>
        <w:pStyle w:val="Compact"/>
        <w:numPr>
          <w:ilvl w:val="0"/>
          <w:numId w:val="1001"/>
        </w:numPr>
      </w:pPr>
      <w:r>
        <w:t xml:space="preserve">Steen, V. A., Elphick, C. S. &amp; Tingley, M. W. An evaluation of stringent filtering to improve species distribution models from citizen science data.</w:t>
      </w:r>
      <w:r>
        <w:t xml:space="preserve"> </w:t>
      </w:r>
      <w:r>
        <w:rPr>
          <w:i/>
          <w:iCs/>
        </w:rPr>
        <w:t xml:space="preserve">Divers. Distrib.</w:t>
      </w:r>
      <w:r>
        <w:t xml:space="preserve"> </w:t>
      </w:r>
      <w:r>
        <w:rPr>
          <w:b/>
          <w:bCs/>
        </w:rPr>
        <w:t xml:space="preserve">25</w:t>
      </w:r>
      <w:r>
        <w:t xml:space="preserve">, 1857–1869 (2019). https://doi.org/10.1111/ddi.12985</w:t>
      </w:r>
    </w:p>
    <w:p>
      <w:pPr>
        <w:pStyle w:val="Compact"/>
        <w:numPr>
          <w:ilvl w:val="0"/>
          <w:numId w:val="1001"/>
        </w:numPr>
      </w:pPr>
      <w:r>
        <w:t xml:space="preserve">Fink, D. et al. Modeling avian full annual cycle distribution and population trends with citizen science data.</w:t>
      </w:r>
      <w:r>
        <w:t xml:space="preserve"> </w:t>
      </w:r>
      <w:r>
        <w:rPr>
          <w:i/>
          <w:iCs/>
        </w:rPr>
        <w:t xml:space="preserve">Ecol. Appl.</w:t>
      </w:r>
      <w:r>
        <w:t xml:space="preserve"> </w:t>
      </w:r>
      <w:r>
        <w:rPr>
          <w:b/>
          <w:bCs/>
        </w:rPr>
        <w:t xml:space="preserve">30</w:t>
      </w:r>
      <w:r>
        <w:t xml:space="preserve">, e02056 (2020). https://doi.org/10.1002/eap.2056</w:t>
      </w:r>
    </w:p>
    <w:p>
      <w:pPr>
        <w:pStyle w:val="Compact"/>
        <w:numPr>
          <w:ilvl w:val="0"/>
          <w:numId w:val="1001"/>
        </w:numPr>
      </w:pPr>
      <w:r>
        <w:t xml:space="preserve">Zizka, A. et al. CoordinateCleaner: standardized cleaning of occurrence records from biological collection databases.</w:t>
      </w:r>
      <w:r>
        <w:t xml:space="preserve"> </w:t>
      </w:r>
      <w:r>
        <w:rPr>
          <w:i/>
          <w:iCs/>
        </w:rPr>
        <w:t xml:space="preserve">Methods Ecol. Evol.</w:t>
      </w:r>
      <w:r>
        <w:t xml:space="preserve"> </w:t>
      </w:r>
      <w:r>
        <w:rPr>
          <w:b/>
          <w:bCs/>
        </w:rPr>
        <w:t xml:space="preserve">10</w:t>
      </w:r>
      <w:r>
        <w:t xml:space="preserve">, 744–751 (2019). https://doi.org/10.1111/2041-210X.13152</w:t>
      </w:r>
    </w:p>
    <w:p>
      <w:pPr>
        <w:pStyle w:val="Compact"/>
        <w:numPr>
          <w:ilvl w:val="0"/>
          <w:numId w:val="1001"/>
        </w:numPr>
      </w:pPr>
      <w:r>
        <w:t xml:space="preserve">Bird, T. J. et al. Statistical solutions for error and bias in global citizen science datasets.</w:t>
      </w:r>
      <w:r>
        <w:t xml:space="preserve"> </w:t>
      </w:r>
      <w:r>
        <w:rPr>
          <w:i/>
          <w:iCs/>
        </w:rPr>
        <w:t xml:space="preserve">Biol. Conserv.</w:t>
      </w:r>
      <w:r>
        <w:t xml:space="preserve"> </w:t>
      </w:r>
      <w:r>
        <w:rPr>
          <w:b/>
          <w:bCs/>
        </w:rPr>
        <w:t xml:space="preserve">173</w:t>
      </w:r>
      <w:r>
        <w:t xml:space="preserve">, 144–154 (2014). https://doi.org/10.1016/j.biocon.2013.07.037</w:t>
      </w:r>
    </w:p>
    <w:p>
      <w:pPr>
        <w:pStyle w:val="Compact"/>
        <w:numPr>
          <w:ilvl w:val="0"/>
          <w:numId w:val="1001"/>
        </w:numPr>
      </w:pPr>
      <w:r>
        <w:t xml:space="preserve">Sofaer, H. R. et al. Development and delivery of species distribution models to inform decision-making.</w:t>
      </w:r>
      <w:r>
        <w:t xml:space="preserve"> </w:t>
      </w:r>
      <w:r>
        <w:rPr>
          <w:i/>
          <w:iCs/>
        </w:rPr>
        <w:t xml:space="preserve">BioScience</w:t>
      </w:r>
      <w:r>
        <w:t xml:space="preserve"> </w:t>
      </w:r>
      <w:r>
        <w:rPr>
          <w:b/>
          <w:bCs/>
        </w:rPr>
        <w:t xml:space="preserve">69</w:t>
      </w:r>
      <w:r>
        <w:t xml:space="preserve">, 544–557 (2019). https://doi.org/10.1093/biosci/biz045</w:t>
      </w:r>
    </w:p>
    <w:p>
      <w:pPr>
        <w:pStyle w:val="Compact"/>
        <w:numPr>
          <w:ilvl w:val="0"/>
          <w:numId w:val="1001"/>
        </w:numPr>
      </w:pPr>
      <w:r>
        <w:t xml:space="preserve">Hurlbert, A. H. &amp; Liang, Z. Spatiotemporal variation in avian migration phenology: citizen science reveals effects of climate change.</w:t>
      </w:r>
      <w:r>
        <w:t xml:space="preserve"> </w:t>
      </w:r>
      <w:r>
        <w:rPr>
          <w:i/>
          <w:iCs/>
        </w:rPr>
        <w:t xml:space="preserve">PLoS ONE</w:t>
      </w:r>
      <w:r>
        <w:t xml:space="preserve"> </w:t>
      </w:r>
      <w:r>
        <w:rPr>
          <w:b/>
          <w:bCs/>
        </w:rPr>
        <w:t xml:space="preserve">7</w:t>
      </w:r>
      <w:r>
        <w:t xml:space="preserve">, e31662 (2012). https://doi.org/10.1371/journal.pone.0031662</w:t>
      </w:r>
    </w:p>
    <w:p>
      <w:pPr>
        <w:pStyle w:val="Compact"/>
        <w:numPr>
          <w:ilvl w:val="0"/>
          <w:numId w:val="1001"/>
        </w:numPr>
      </w:pPr>
      <w:r>
        <w:t xml:space="preserve">Thomas, C. D. Climate, climate change and range boundaries.</w:t>
      </w:r>
      <w:r>
        <w:t xml:space="preserve"> </w:t>
      </w:r>
      <w:r>
        <w:rPr>
          <w:i/>
          <w:iCs/>
        </w:rPr>
        <w:t xml:space="preserve">Divers. Distrib.</w:t>
      </w:r>
      <w:r>
        <w:t xml:space="preserve"> </w:t>
      </w:r>
      <w:r>
        <w:rPr>
          <w:b/>
          <w:bCs/>
        </w:rPr>
        <w:t xml:space="preserve">16</w:t>
      </w:r>
      <w:r>
        <w:t xml:space="preserve">, 488–495 (2010). https://doi.org/10.1111/j.1472-4642.2010.00642.x</w:t>
      </w:r>
    </w:p>
    <w:p>
      <w:pPr>
        <w:pStyle w:val="Compact"/>
        <w:numPr>
          <w:ilvl w:val="0"/>
          <w:numId w:val="1001"/>
        </w:numPr>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pStyle w:val="Compact"/>
        <w:numPr>
          <w:ilvl w:val="0"/>
          <w:numId w:val="1001"/>
        </w:numPr>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pStyle w:val="Compact"/>
        <w:numPr>
          <w:ilvl w:val="0"/>
          <w:numId w:val="1001"/>
        </w:numPr>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pStyle w:val="Compact"/>
        <w:numPr>
          <w:ilvl w:val="0"/>
          <w:numId w:val="1001"/>
        </w:numPr>
      </w:pPr>
      <w:r>
        <w:t xml:space="preserve">Zurell, D., Elith, J. &amp; Schröder, B. Predicting to new environments: tools for visualizing model behaviour and impacts on mapped distributions.</w:t>
      </w:r>
      <w:r>
        <w:t xml:space="preserve"> </w:t>
      </w:r>
      <w:r>
        <w:rPr>
          <w:i/>
          <w:iCs/>
        </w:rPr>
        <w:t xml:space="preserve">Divers. Distrib.</w:t>
      </w:r>
      <w:r>
        <w:t xml:space="preserve"> </w:t>
      </w:r>
      <w:r>
        <w:rPr>
          <w:b/>
          <w:bCs/>
        </w:rPr>
        <w:t xml:space="preserve">18</w:t>
      </w:r>
      <w:r>
        <w:t xml:space="preserve">, 628–634 (2012). https://doi.org/10.1111/j.1472-4642.2012.00887.x</w:t>
      </w:r>
    </w:p>
    <w:p>
      <w:pPr>
        <w:pStyle w:val="Compact"/>
        <w:numPr>
          <w:ilvl w:val="0"/>
          <w:numId w:val="1001"/>
        </w:numPr>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pStyle w:val="Compact"/>
        <w:numPr>
          <w:ilvl w:val="0"/>
          <w:numId w:val="1001"/>
        </w:numPr>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pStyle w:val="Compact"/>
        <w:numPr>
          <w:ilvl w:val="0"/>
          <w:numId w:val="1001"/>
        </w:numPr>
      </w:pPr>
      <w:r>
        <w:t xml:space="preserve">Hartig, F. DHARMa: residual diagnostics for hierarchical (multi-level/mixed) regression models. R package version 0.4 (2024). https://CRAN.R-project.org/package=DHARMa</w:t>
      </w:r>
    </w:p>
    <w:p>
      <w:pPr>
        <w:pStyle w:val="Compact"/>
        <w:numPr>
          <w:ilvl w:val="0"/>
          <w:numId w:val="1001"/>
        </w:numPr>
      </w:pPr>
      <w:r>
        <w:t xml:space="preserve">Barr, D. J., Levy, R., Scheepers, C. &amp; Tily, H. J. Random effects structure for confirmatory hypothesis testing: keep it maximal.</w:t>
      </w:r>
      <w:r>
        <w:t xml:space="preserve"> </w:t>
      </w:r>
      <w:r>
        <w:rPr>
          <w:i/>
          <w:iCs/>
        </w:rPr>
        <w:t xml:space="preserve">J. Mem. Lang.</w:t>
      </w:r>
      <w:r>
        <w:t xml:space="preserve"> </w:t>
      </w:r>
      <w:r>
        <w:rPr>
          <w:b/>
          <w:bCs/>
        </w:rPr>
        <w:t xml:space="preserve">68</w:t>
      </w:r>
      <w:r>
        <w:t xml:space="preserve">, 255–278 (2013). https://doi.org/10.1016/j.jml.2012.11.001</w:t>
      </w:r>
    </w:p>
    <w:p>
      <w:pPr>
        <w:pStyle w:val="Compact"/>
        <w:numPr>
          <w:ilvl w:val="0"/>
          <w:numId w:val="1001"/>
        </w:numPr>
      </w:pPr>
      <w:r>
        <w:t xml:space="preserve">Schielzeth, H. &amp; Forstmeier, W. Conclusions beyond support: overconfident estimates in mixed models.</w:t>
      </w:r>
      <w:r>
        <w:t xml:space="preserve"> </w:t>
      </w:r>
      <w:r>
        <w:rPr>
          <w:i/>
          <w:iCs/>
        </w:rPr>
        <w:t xml:space="preserve">Behav. Ecol.</w:t>
      </w:r>
      <w:r>
        <w:t xml:space="preserve"> </w:t>
      </w:r>
      <w:r>
        <w:rPr>
          <w:b/>
          <w:bCs/>
        </w:rPr>
        <w:t xml:space="preserve">20</w:t>
      </w:r>
      <w:r>
        <w:t xml:space="preserve">, 416–420 (2009). https://doi.org/10.1093/beheco/arn145</w:t>
      </w:r>
    </w:p>
    <w:p>
      <w:pPr>
        <w:pStyle w:val="Compact"/>
        <w:numPr>
          <w:ilvl w:val="0"/>
          <w:numId w:val="1001"/>
        </w:numPr>
      </w:pPr>
      <w:r>
        <w:t xml:space="preserve">Tredennick, A. T., Hooker, G., Ellner, S. P. &amp; Adler, P. B. A practical guide to selecting models for exploration, inference, and prediction in ecology.</w:t>
      </w:r>
      <w:r>
        <w:t xml:space="preserve"> </w:t>
      </w:r>
      <w:r>
        <w:rPr>
          <w:i/>
          <w:iCs/>
        </w:rPr>
        <w:t xml:space="preserve">Ecology</w:t>
      </w:r>
      <w:r>
        <w:t xml:space="preserve"> </w:t>
      </w:r>
      <w:r>
        <w:rPr>
          <w:b/>
          <w:bCs/>
        </w:rPr>
        <w:t xml:space="preserve">102</w:t>
      </w:r>
      <w:r>
        <w:t xml:space="preserve">, e03336 (2021). https://doi.org/10.1002/ecy.3336</w:t>
      </w:r>
    </w:p>
    <w:p>
      <w:pPr>
        <w:pStyle w:val="Compact"/>
        <w:numPr>
          <w:ilvl w:val="0"/>
          <w:numId w:val="1001"/>
        </w:numPr>
      </w:pPr>
      <w:r>
        <w:t xml:space="preserve">Mundlak, Y. On the pooling of time series and cross section data.</w:t>
      </w:r>
      <w:r>
        <w:t xml:space="preserve"> </w:t>
      </w:r>
      <w:r>
        <w:rPr>
          <w:i/>
          <w:iCs/>
        </w:rPr>
        <w:t xml:space="preserve">Econometrica</w:t>
      </w:r>
      <w:r>
        <w:t xml:space="preserve"> </w:t>
      </w:r>
      <w:r>
        <w:rPr>
          <w:b/>
          <w:bCs/>
        </w:rPr>
        <w:t xml:space="preserve">46</w:t>
      </w:r>
      <w:r>
        <w:t xml:space="preserve">, 69–85 (1978). https://doi.org/10.2307/1913646</w:t>
      </w:r>
    </w:p>
    <w:p>
      <w:pPr>
        <w:pStyle w:val="FirstParagraph"/>
      </w:pPr>
      <w:r>
        <w:rPr>
          <w:i/>
          <w:iCs/>
        </w:rPr>
        <w:t xml:space="preserve">In-text superscripts [A1]–[A6] refer to references 72, 73, 74, 76, 77 and 78 respectively. All digital object identifiers were verified against Crossref on 26 July 2026. Reference 25 is a companion data descriptor currently under review and will be updated on acceptance.</w:t>
      </w:r>
    </w:p>
    <w:p>
      <w:r>
        <w:pict>
          <v:rect style="width:0;height:1.5pt" o:hralign="center" o:hrstd="t" o:hr="t"/>
        </w:pict>
      </w:r>
    </w:p>
    <w:bookmarkEnd w:id="27"/>
    <w:bookmarkStart w:id="39" w:name="methods"/>
    <w:p>
      <w:pPr>
        <w:pStyle w:val="Heading2"/>
      </w:pPr>
      <w:r>
        <w:t xml:space="preserve">Methods</w:t>
      </w:r>
    </w:p>
    <w:bookmarkStart w:id="28" w:name="event-data-and-dating"/>
    <w:p>
      <w:pPr>
        <w:pStyle w:val="Heading3"/>
      </w:pPr>
      <w:r>
        <w:t xml:space="preserve">Event data and dating</w:t>
      </w:r>
    </w:p>
    <w:p>
      <w:pPr>
        <w:pStyle w:val="FirstParagraph"/>
      </w:pPr>
      <w:r>
        <w:t xml:space="preserve">New provincial-level bird distribution records for China were taken from the released compilation of 1,029 records covering 2000–2025</w:t>
      </w:r>
      <w:r>
        <w:rPr>
          <w:vertAlign w:val="superscript"/>
        </w:rPr>
        <w:t xml:space="preserve">25</w:t>
      </w:r>
      <w:r>
        <w:t xml:space="preserve">.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28"/>
    <w:bookmarkStart w:id="29"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29"/>
    <w:bookmarkStart w:id="30"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30"/>
    <w:bookmarkStart w:id="31"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w:t>
      </w:r>
      <w:r>
        <w:rPr>
          <w:vertAlign w:val="superscript"/>
        </w:rPr>
        <w:t xml:space="preserve">53,54</w:t>
      </w:r>
      <w:r>
        <w:t xml:space="preserve">.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31"/>
    <w:bookmarkStart w:id="32" w:name="survey-effort"/>
    <w:p>
      <w:pPr>
        <w:pStyle w:val="Heading3"/>
      </w:pPr>
      <w:r>
        <w:t xml:space="preserve">Survey effort</w:t>
      </w:r>
    </w:p>
    <w:p>
      <w:pPr>
        <w:pStyle w:val="FirstParagraph"/>
      </w:pPr>
      <w:r>
        <w:t xml:space="preserve">Provincial annual survey effort was compiled from integrated observation records and expressed through four proxies: number of visits, number of distinct observers, number of birding days and number of records.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w:t>
      </w:r>
    </w:p>
    <w:bookmarkEnd w:id="32"/>
    <w:bookmarkStart w:id="33"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w:t>
      </w:r>
      <w:r>
        <w:rPr>
          <w:vertAlign w:val="superscript"/>
        </w:rPr>
        <w:t xml:space="preserve">72,73,55</w:t>
      </w:r>
      <w:r>
        <w:t xml:space="preserve">:</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w:t>
      </w:r>
      <w:r>
        <w:rPr>
          <w:vertAlign w:val="superscript"/>
        </w:rPr>
        <w:t xml:space="preserve">55</w:t>
      </w:r>
      <w:r>
        <w:t xml:space="preserve">.</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w:t>
      </w:r>
      <w:r>
        <w:rPr>
          <w:vertAlign w:val="superscript"/>
        </w:rPr>
        <w:t xml:space="preserve">56</w:t>
      </w:r>
      <w:r>
        <w:t xml:space="preserve">, and marginal and conditional AUC); variance-component identifiability; and the ecological interpretability of each term. The structure reported above was frozen before the robustness analyses were run.</w:t>
      </w:r>
    </w:p>
    <w:bookmarkEnd w:id="33"/>
    <w:bookmarkStart w:id="34"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34"/>
    <w:bookmarkStart w:id="35" w:name="diagnostics"/>
    <w:p>
      <w:pPr>
        <w:pStyle w:val="Heading3"/>
      </w:pPr>
      <w:r>
        <w:t xml:space="preserve">Diagnostics</w:t>
      </w:r>
    </w:p>
    <w:p>
      <w:pPr>
        <w:pStyle w:val="FirstParagraph"/>
      </w:pPr>
      <w:r>
        <w:t xml:space="preserve">Residual diagnostics used simulation-based scaled residuals with 500 simulations</w:t>
      </w:r>
      <w:r>
        <w:rPr>
          <w:vertAlign w:val="superscript"/>
        </w:rPr>
        <w:t xml:space="preserve">78</w:t>
      </w:r>
      <w:r>
        <w:t xml:space="preserve">: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35"/>
    <w:bookmarkStart w:id="36"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1.19); horizons 2030 and 2050. Province-by-year effects for future years were set to their expectation, species and province effects retained, and provincial expectations summed over species. Future county surfaces hold the 2024 allocation shares fixed.</w:t>
      </w:r>
    </w:p>
    <w:bookmarkEnd w:id="36"/>
    <w:bookmarkStart w:id="37" w:name="model-family-comparison"/>
    <w:p>
      <w:pPr>
        <w:pStyle w:val="Heading3"/>
      </w:pPr>
      <w:r>
        <w:t xml:space="preserve">Model-family comparison</w:t>
      </w:r>
    </w:p>
    <w:p>
      <w:pPr>
        <w:pStyle w:val="FirstParagraph"/>
      </w:pPr>
      <w:r>
        <w:t xml:space="preserve">The projection comparison used a gradient-boosted model (XGBoost, 400 rounds, learning rate 0.05, depth 4)</w:t>
      </w:r>
      <w:r>
        <w:rPr>
          <w:vertAlign w:val="superscript"/>
        </w:rPr>
        <w:t xml:space="preserve">36</w:t>
      </w:r>
      <w:r>
        <w:t xml:space="preserve"> </w:t>
      </w:r>
      <w:r>
        <w:t xml:space="preserve">on the same three predictors, with exact TreeSHAP attributions</w:t>
      </w:r>
      <w:r>
        <w:rPr>
          <w:vertAlign w:val="superscript"/>
        </w:rPr>
        <w:t xml:space="preserve">35</w:t>
      </w:r>
      <w:r>
        <w:t xml:space="preserve">.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37"/>
    <w:bookmarkStart w:id="38" w:name="data-and-code-availability"/>
    <w:p>
      <w:pPr>
        <w:pStyle w:val="Heading3"/>
      </w:pPr>
      <w:r>
        <w:t xml:space="preserve">Data and code availability</w:t>
      </w:r>
    </w:p>
    <w:p>
      <w:pPr>
        <w:pStyle w:val="FirstParagraph"/>
      </w:pPr>
      <w:r>
        <w:t xml:space="preserve">All modelling data, analysis code, result tables, figures in four formats including editable PowerPoint, and this manuscript are archived in the accompanying repository. Species range polygons (BirdLife International) and CRU TS climate surfaces are third-party licensed and are not redistributed; paths to local copies are configured in</w:t>
      </w:r>
      <w:r>
        <w:t xml:space="preserve"> </w:t>
      </w:r>
      <w:r>
        <w:rPr>
          <w:rStyle w:val="VerbatimChar"/>
        </w:rPr>
        <w:t xml:space="preserve">config.R</w:t>
      </w:r>
      <w:r>
        <w:t xml:space="preserve">. A smoke test reproduces the headline coefficients from the shipped data in approximately two minutes.</w:t>
      </w:r>
    </w:p>
    <w:p>
      <w:r>
        <w:pict>
          <v:rect style="width:0;height:1.5pt" o:hralign="center" o:hrstd="t" o:hr="t"/>
        </w:pict>
      </w:r>
    </w:p>
    <w:bookmarkEnd w:id="38"/>
    <w:bookmarkEnd w:id="39"/>
    <w:bookmarkEnd w:id="40"/>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A1,A2</w:t>
      </w:r>
    </w:p>
  </w:footnote>
  <w:footnote w:id="25">
    <w:p>
      <w:pPr>
        <w:pStyle w:val="FootnoteText"/>
      </w:pPr>
      <w:r>
        <w:rPr>
          <w:rStyle w:val="FootnoteReference"/>
        </w:rPr>
        <w:footnoteRef/>
      </w:r>
      <w:r>
        <w:t xml:space="preserve"> </w:t>
      </w:r>
      <w:r>
        <w:t xml:space="preserve">A3–A5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2026-09-10T10:34:47Z</dcterms:created>
  <dcterms:modified xsi:type="dcterms:W3CDTF">2026-09-10T10:34:47Z</dcterms:modified>
</cp:coreProperties>
</file>

<file path=docProps/custom.xml><?xml version="1.0" encoding="utf-8"?>
<Properties xmlns="http://schemas.openxmlformats.org/officeDocument/2006/custom-properties" xmlns:vt="http://schemas.openxmlformats.org/officeDocument/2006/docPropsVTypes"/>
</file>