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75d79c841bc0027eb180376c96c2db5ee86b3d"/>
    <w:p>
      <w:pPr>
        <w:pStyle w:val="Heading1"/>
      </w:pPr>
      <w:r>
        <w:t xml:space="preserve">Warming and survey effort contribute comparably to the generation of new bird distribution records once records are dated to discovery</w:t>
      </w:r>
    </w:p>
    <w:p>
      <w:pPr>
        <w:pStyle w:val="FirstParagraph"/>
      </w:pPr>
      <w:r>
        <w:t xml:space="preserve">Chenchen Ding</w:t>
      </w:r>
      <w:r>
        <w:rPr>
          <w:vertAlign w:val="superscript"/>
        </w:rPr>
        <w:t xml:space="preserve">1</w:t>
      </w:r>
      <w:r>
        <w:t xml:space="preserve">, et al.</w:t>
      </w:r>
    </w:p>
    <w:p>
      <w:pPr>
        <w:pStyle w:val="BodyText"/>
      </w:pPr>
      <w:r>
        <w:rPr>
          <w:vertAlign w:val="superscript"/>
        </w:rPr>
        <w:t xml:space="preserve">1</w:t>
      </w:r>
      <w:r>
        <w:t xml:space="preserve"> </w:t>
      </w:r>
      <w:r>
        <w:t xml:space="preserve">Institute of Ecology, College of Urban and Environmental Sciences, Peking University, Beijing 100871, China</w:t>
      </w:r>
    </w:p>
    <w:p>
      <w:pPr>
        <w:pStyle w:val="BodyText"/>
      </w:pPr>
      <w:r>
        <w:t xml:space="preserve">Correspondence: dingchenchen@pku.edu.cn</w:t>
      </w:r>
    </w:p>
    <w:bookmarkStart w:id="9" w:name="abstract"/>
    <w:p>
      <w:pPr>
        <w:pStyle w:val="Heading2"/>
      </w:pPr>
      <w:r>
        <w:t xml:space="preserve">Abstract</w:t>
      </w:r>
    </w:p>
    <w:p>
      <w:pPr>
        <w:pStyle w:val="FirstParagraph"/>
      </w:pPr>
      <w:r>
        <w:t xml:space="preserve">Documented range shifts confound where species occur with where people look. We model the annual hazard of a first provincial record across a complete species-by-province-by-year risk set for 1,029 new bird records in China (2002–2024). Publication-year dating, the near-universal practice, inflates the apparent contribution of survey effort by 37%; accumulated warming is unchanged. After correction, accumulated warming relative to a species’ historical range (hazard ratio 1.36 per SD, 95% CI 1.22–1.52) and survey effort (1.40, 1.25–1.58) contribute comparably. Permutation nulls centre the warming null on 1.157 (increment ≈1.18) and collapse effort to 0.980 when temporal alignment is broken. A province-by-year random intercept, the largest variance component, raises conditional discrimination from 0.72 to 0.85; effort’s marginal return declines through time, warming’s does not; and records cluster east and northeast of species’ ranges. Documented range gains reflect climate and observation in roughly equal measure; the record’s date decides which appears to dominate.</w:t>
      </w:r>
    </w:p>
    <w:bookmarkEnd w:id="9"/>
    <w:bookmarkStart w:id="10" w:name="introduction"/>
    <w:p>
      <w:pPr>
        <w:pStyle w:val="Heading2"/>
      </w:pPr>
      <w:r>
        <w:t xml:space="preserve">Introduction</w:t>
      </w:r>
    </w:p>
    <w:p>
      <w:pPr>
        <w:pStyle w:val="FirstParagraph"/>
      </w:pPr>
      <w:r>
        <w:t xml:space="preserve">Documented species distributions are a joint product of where organisms occur and where people look</w:t>
      </w:r>
      <w:r>
        <w:rPr>
          <w:vertAlign w:val="superscript"/>
        </w:rPr>
        <w:t xml:space="preserve">1–4</w:t>
      </w:r>
      <w:r>
        <w:t xml:space="preserve">. The inferential consequences remain incompletely handled in the literature on climate-driven range shifts</w:t>
      </w:r>
      <w:r>
        <w:rPr>
          <w:vertAlign w:val="superscript"/>
        </w:rPr>
        <w:t xml:space="preserve">5–8</w:t>
      </w:r>
      <w:r>
        <w:t xml:space="preserve">. When a species is reported for the first time from an administrative unit, the record is often read as evidence of range expansion; the same record is equally consistent with a long-standing population only now detected, or with a stable population in a region whose observer base has recently grown</w:t>
      </w:r>
      <w:r>
        <w:rPr>
          <w:vertAlign w:val="superscript"/>
        </w:rPr>
        <w:t xml:space="preserve">16,19–21</w:t>
      </w:r>
      <w:r>
        <w:t xml:space="preserve">. What is at stake is whether a body of records constitutes evidence of biodiversity redistribution or of the filling of the Wallacean shortfall</w:t>
      </w:r>
      <w:r>
        <w:rPr>
          <w:vertAlign w:val="superscript"/>
        </w:rPr>
        <w:t xml:space="preserve">1,2</w:t>
      </w:r>
      <w:r>
        <w:t xml:space="preserve">.</w:t>
      </w:r>
    </w:p>
    <w:p>
      <w:pPr>
        <w:pStyle w:val="BodyText"/>
      </w:pPr>
      <w:r>
        <w:t xml:space="preserve">China offers unusual leverage on this problem. Over the past two decades the country has warmed rapidly while its birdwatching community expanded from a few thousand to hundreds of thousands of participants, and a national compilation of provincial-level new bird records now exists with dates of discovery as well as of publication</w:t>
      </w:r>
      <w:r>
        <w:rPr>
          <w:vertAlign w:val="superscript"/>
        </w:rPr>
        <w:t xml:space="preserve">9,25,37</w:t>
      </w:r>
      <w:r>
        <w:t xml:space="preserve">. The simultaneous expansion of the climatic and the observational signal is what makes attribution hard, and what makes a formal risk-set analysis necessary.</w:t>
      </w:r>
    </w:p>
    <w:p>
      <w:pPr>
        <w:pStyle w:val="BodyText"/>
      </w:pPr>
      <w:r>
        <w:t xml:space="preserve">Three specific gaps motivate this study.</w:t>
      </w:r>
    </w:p>
    <w:p>
      <w:pPr>
        <w:pStyle w:val="BodyText"/>
      </w:pPr>
      <w:r>
        <w:rPr>
          <w:b/>
          <w:bCs/>
        </w:rPr>
        <w:t xml:space="preserve">First, the temporal alignment of events has not been examined.</w:t>
      </w:r>
      <w:r>
        <w:t xml:space="preserve"> </w:t>
      </w:r>
      <w:r>
        <w:t xml:space="preserve">Records compiled from the literature carry two dates: when the bird was seen, and when the paper appeared. Almost all analyses use the latter, the field that primary sources reliably report. Publication lag is a right-skewed delay that is correlated in aggregate with the growth of the observational infrastructure. Aligning an event to the year of publication therefore aligns it to a year in which the effort database was systematically larger, manufacturing covariance between effort and event occurrence.</w:t>
      </w:r>
    </w:p>
    <w:p>
      <w:pPr>
        <w:pStyle w:val="BodyText"/>
      </w:pPr>
      <w:r>
        <w:rPr>
          <w:b/>
          <w:bCs/>
        </w:rPr>
        <w:t xml:space="preserve">Second, the observation process operates at a spatiotemporal scale that most models do not represent.</w:t>
      </w:r>
      <w:r>
        <w:t xml:space="preserve"> </w:t>
      </w:r>
      <w:r>
        <w:t xml:space="preserve">Regional survey campaigns, provincial birdwatching festivals, new protected areas and local reporting channels act at the level of a particular province in a particular year. A model with species and region random intercepts, the conventional choice</w:t>
      </w:r>
      <w:r>
        <w:rPr>
          <w:vertAlign w:val="superscript"/>
        </w:rPr>
        <w:t xml:space="preserve">55</w:t>
      </w:r>
      <w:r>
        <w:t xml:space="preserve">, cannot absorb this variation; it leaks into the fixed effects and inflates whichever covariate happens to trend with observational capacity.</w:t>
      </w:r>
    </w:p>
    <w:p>
      <w:pPr>
        <w:pStyle w:val="BodyText"/>
      </w:pPr>
      <w:r>
        <w:rPr>
          <w:b/>
          <w:bCs/>
        </w:rPr>
        <w:t xml:space="preserve">Third, projections of future record generation have been made without checking whether the scenarios lie inside the fitted data.</w:t>
      </w:r>
      <w:r>
        <w:t xml:space="preserve"> </w:t>
      </w:r>
      <w:r>
        <w:t xml:space="preserve">Species-specific climate gradients are differences between two anomalies that largely covary, so their historical standard deviation is small. Future warming differentials between a province and a species’ range are not small. The ratio between the two determines how far any projection extrapolates, and this ratio has not been reported.</w:t>
      </w:r>
    </w:p>
    <w:p>
      <w:pPr>
        <w:pStyle w:val="BodyText"/>
      </w:pPr>
      <w:r>
        <w:t xml:space="preserve">Here we address all three. We construct a complete risk set — every species × province × year cell in which a new record could have occurred, with absorbing exit after the first record — and model the annual hazard with a complementary log-log link, the discrete-time analogue of a proportional-hazards model</w:t>
      </w:r>
      <w:r>
        <w:rPr>
          <w:vertAlign w:val="superscript"/>
        </w:rPr>
        <w:t xml:space="preserve">72,73</w:t>
      </w:r>
      <w:r>
        <w:t xml:space="preserve">. We re-date every event to its year of discovery, correct the resulting right-censoring with an explicit reporting-completeness offset, treat structurally implausible zeros in the effort database as coverage gaps rather than true absences of observation, and add a province-by-year random intercept. We quantify how much each correction matters with a decomposition in which exactly one thing changes at a time.</w:t>
      </w:r>
    </w:p>
    <w:p>
      <w:pPr>
        <w:pStyle w:val="BodyText"/>
      </w:pPr>
      <w:r>
        <w:t xml:space="preserve">We ask three questions. (i) How large is the bias introduced by publication-year dating, and which coefficients does it affect? (ii) Once corrected, what are the relative contributions of accumulated warming and survey effort to the hazard of a new record, and do they interact? (iii) Over what range of future conditions can the fitted relationship legitimately be projected? We hypothesised that effort would dominate, as reported previously</w:t>
      </w:r>
      <w:r>
        <w:rPr>
          <w:vertAlign w:val="superscript"/>
        </w:rPr>
        <w:t xml:space="preserve">10,37</w:t>
      </w:r>
      <w:r>
        <w:t xml:space="preserve">, and that the climate signal would be modest. Both expectations proved wrong in an informative way.</w:t>
      </w:r>
    </w:p>
    <w:bookmarkEnd w:id="10"/>
    <w:bookmarkStart w:id="24" w:name="results"/>
    <w:p>
      <w:pPr>
        <w:pStyle w:val="Heading2"/>
      </w:pPr>
      <w:r>
        <w:t xml:space="preserve">Results</w:t>
      </w:r>
    </w:p>
    <w:bookmarkStart w:id="11" w:name="the-risk-set-and-the-dating-problem"/>
    <w:p>
      <w:pPr>
        <w:pStyle w:val="Heading3"/>
      </w:pPr>
      <w:r>
        <w:t xml:space="preserve">The risk set and the dating problem</w:t>
      </w:r>
    </w:p>
    <w:p>
      <w:pPr>
        <w:pStyle w:val="FirstParagraph"/>
      </w:pPr>
      <w:r>
        <w:t xml:space="preserve">The released compilation contains 1,029 provincial-level new bird records with a parseable discovery date for 1,028 (99.9%). Of these, 684 could be matched to a species × province cell in the candidate pool defined by species-distribution models plus forced inclusion of every observed event; 657 fall within the 2002–2024 analysis window (Supplementary Table S7). Twenty-six records discovered before 2002 describe species already present at the start of the window and were removed from the risk set as prevalent rather than incident cases. Its spatial and temporal pattern is summarised in Supplementary Fig. S15.</w:t>
      </w:r>
    </w:p>
    <w:p>
      <w:pPr>
        <w:pStyle w:val="BodyText"/>
      </w:pPr>
      <w:r>
        <w:t xml:space="preserve">Publication lags discovery by a median of one year and a mean of 2.09 years; 81.7% of records lag by at least one year and 26.8% by three or more (Fig. 1a). Re-dating changes the assigned year of 526 of 633 comparable events (83.1%), with a median shift of −1 year and a mean of −1.83 years. The two conventions produce qualitatively different time series (Fig. 1b): the publication-year series rises monotonically to 67 events in 2024, whereas the discovery-year series peaks at 59 in 2019 and falls to 14 in 2024. Neither series is clean: the publication-year rise aggregates delayed reports, and the discovery-year fall is right-censoring, which we corrected directly.</w:t>
      </w:r>
    </w:p>
    <w:p>
      <w:pPr>
        <w:pStyle w:val="BodyText"/>
      </w:pPr>
      <w:r>
        <w:t xml:space="preserve">Because the observed hazard under incomplete reporting is approximately the product of the true hazard and the reporting completeness</w:t>
      </w:r>
      <w:r>
        <w:t xml:space="preserve"> </w:t>
      </w:r>
      <w:r>
        <w:rPr>
          <w:i/>
          <w:iCs/>
        </w:rPr>
        <w:t xml:space="preserve">c</w:t>
      </w:r>
      <w:r>
        <w:t xml:space="preserve">(</w:t>
      </w:r>
      <w:r>
        <w:rPr>
          <w:i/>
          <w:iCs/>
        </w:rPr>
        <w:t xml:space="preserve">t</w:t>
      </w:r>
      <w:r>
        <w:t xml:space="preserve">), and the complementary log-log link is logarithmic in the hazard,</w:t>
      </w:r>
      <w:r>
        <w:t xml:space="preserve"> </w:t>
      </w:r>
      <w:r>
        <w:rPr>
          <w:i/>
          <w:iCs/>
        </w:rPr>
        <w:t xml:space="preserve">c</w:t>
      </w:r>
      <w:r>
        <w:t xml:space="preserve">(</w:t>
      </w:r>
      <w:r>
        <w:rPr>
          <w:i/>
          <w:iCs/>
        </w:rPr>
        <w:t xml:space="preserve">t</w:t>
      </w:r>
      <w:r>
        <w:t xml:space="preserve">) enters the linear predictor exactly as an offset log</w:t>
      </w:r>
      <w:r>
        <w:t xml:space="preserve"> </w:t>
      </w:r>
      <w:r>
        <w:rPr>
          <w:i/>
          <w:iCs/>
        </w:rPr>
        <w:t xml:space="preserve">c</w:t>
      </w:r>
      <w:r>
        <w:t xml:space="preserve">(</w:t>
      </w:r>
      <w:r>
        <w:rPr>
          <w:i/>
          <w:iCs/>
        </w:rPr>
        <w:t xml:space="preserve">t</w:t>
      </w:r>
      <w:r>
        <w:t xml:space="preserve">). Completeness was computed for each discovery year from the pooled empirical lag distribution, whose stationarity over the study period we verified (Supplementary Note S1), and the offset is included throughout.</w:t>
      </w:r>
    </w:p>
    <w:p>
      <w:pPr>
        <w:pStyle w:val="BodyText"/>
      </w:pPr>
      <w:r>
        <w:t xml:space="preserve">The final risk set at the 50-cell species-distribution-model threshold comprises 8,319 species × province pairs, 185,478 species-province-years and 657 events. After requiring non-missing effort and climate components, the modelling data contain 175,901 rows, 649 events, 392 species and 31 provincial units.</w:t>
      </w:r>
    </w:p>
    <w:bookmarkEnd w:id="11"/>
    <w:bookmarkStart w:id="12" w:name="Xc77949901b9107389467c4ba24830ea78b75cee"/>
    <w:p>
      <w:pPr>
        <w:pStyle w:val="Heading3"/>
      </w:pPr>
      <w:r>
        <w:t xml:space="preserve">Publication-year dating inflates the apparent role of survey effort</w:t>
      </w:r>
    </w:p>
    <w:p>
      <w:pPr>
        <w:pStyle w:val="FirstParagraph"/>
      </w:pPr>
      <w:r>
        <w:t xml:space="preserve">We decomposed the difference between the previously published specification and the corrected one into five steps, changing exactly one thing at each (Fig. 1c; Table 1).</w:t>
      </w:r>
    </w:p>
    <w:p>
      <w:pPr>
        <w:pStyle w:val="BodyText"/>
      </w:pPr>
      <w:r>
        <w:t xml:space="preserve">Re-dating alone moves the survey-effort hazard ratio from 1.788 to 1.305, a reduction of 37% in the excess hazard, and moves the annual-variability hazard ratio from 0.850 (</w:t>
      </w:r>
      <w:r>
        <w:rPr>
          <w:i/>
          <w:iCs/>
        </w:rPr>
        <w:t xml:space="preserve">P</w:t>
      </w:r>
      <w:r>
        <w:t xml:space="preserve"> </w:t>
      </w:r>
      <w:r>
        <w:t xml:space="preserve">= 1.8 × 10⁻⁴) to 0.971 (</w:t>
      </w:r>
      <w:r>
        <w:rPr>
          <w:i/>
          <w:iCs/>
        </w:rPr>
        <w:t xml:space="preserve">P</w:t>
      </w:r>
      <w:r>
        <w:t xml:space="preserve"> </w:t>
      </w:r>
      <w:r>
        <w:t xml:space="preserve">= 0.48). The accumulated-warming coefficient is essentially untouched (1.394 → 1.437), as is the interaction (0.876 → 0.859). The remaining corrections are comparatively minor: treating structural zeros in the effort database as coverage gaps moves effort by −0.038; area-weighting the provincial climate series moves it by +0.022; the completeness offset restores +0.159, recovering signal that right-censoring had attenuated; and the province-by-year random intercept removes a further 0.044.</w:t>
      </w:r>
    </w:p>
    <w:p>
      <w:pPr>
        <w:pStyle w:val="BodyText"/>
      </w:pPr>
      <w:r>
        <w:t xml:space="preserve">The mechanism is transparent. Publication year and the size of the observational database both increase through time, so assigning an event to its publication year places it in a cell whose recorded effort is systematically higher than the effort that actually generated the observation. It also decorrelates the event from the weather of the year in which the bird was actually seen, which is why a spurious negative coefficient on annual climate variability appears under publication-year dating and disappears under discovery-year dating. Accumulated warming, being a fifteen-year trailing mean, is robust to a shift of one or two years — which is exactly why it survives the correction unchanged.</w:t>
      </w:r>
    </w:p>
    <w:bookmarkEnd w:id="12"/>
    <w:bookmarkStart w:id="13" w:name="warming-and-effort-contribute-comparably"/>
    <w:p>
      <w:pPr>
        <w:pStyle w:val="Heading3"/>
      </w:pPr>
      <w:r>
        <w:t xml:space="preserve">Warming and effort contribute comparably</w:t>
      </w:r>
    </w:p>
    <w:p>
      <w:pPr>
        <w:pStyle w:val="FirstParagraph"/>
      </w:pPr>
      <w:r>
        <w:t xml:space="preserve">In the frozen main model, both drivers raise the hazard and the effect sizes are similar (Fig. 2a; Table 2). One standard deviation of accumulated warming relative to a species’ historical range multiplies the annual hazard by 1.362 (95% CI 1.216–1.524;</w:t>
      </w:r>
      <w:r>
        <w:t xml:space="preserve"> </w:t>
      </w:r>
      <w:r>
        <w:rPr>
          <w:i/>
          <w:iCs/>
        </w:rPr>
        <w:t xml:space="preserve">P</w:t>
      </w:r>
      <w:r>
        <w:t xml:space="preserve"> </w:t>
      </w:r>
      <w:r>
        <w:t xml:space="preserve">= 8.3 × 10⁻⁸); one standard deviation of survey effort multiplies it by 1.404 (1.245–1.583;</w:t>
      </w:r>
      <w:r>
        <w:t xml:space="preserve"> </w:t>
      </w:r>
      <w:r>
        <w:rPr>
          <w:i/>
          <w:iCs/>
        </w:rPr>
        <w:t xml:space="preserve">P</w:t>
      </w:r>
      <w:r>
        <w:t xml:space="preserve"> </w:t>
      </w:r>
      <w:r>
        <w:t xml:space="preserve">= 2.9 × 10⁻⁸). Annual climate variability has no effect (0.995, 0.909–1.090;</w:t>
      </w:r>
      <w:r>
        <w:t xml:space="preserve"> </w:t>
      </w:r>
      <w:r>
        <w:rPr>
          <w:i/>
          <w:iCs/>
        </w:rPr>
        <w:t xml:space="preserve">P</w:t>
      </w:r>
      <w:r>
        <w:t xml:space="preserve"> </w:t>
      </w:r>
      <w:r>
        <w:t xml:space="preserve">= 0.92). The two main effects interact negatively (0.849, 0.761–0.948;</w:t>
      </w:r>
      <w:r>
        <w:t xml:space="preserve"> </w:t>
      </w:r>
      <w:r>
        <w:rPr>
          <w:i/>
          <w:iCs/>
        </w:rPr>
        <w:t xml:space="preserve">P</w:t>
      </w:r>
      <w:r>
        <w:t xml:space="preserve"> </w:t>
      </w:r>
      <w:r>
        <w:t xml:space="preserve">= 3.7 × 10⁻³): the marginal effect of warming is steepest where effort is low and flattens where coverage is already dense (Fig. 2b).</w:t>
      </w:r>
    </w:p>
    <w:p>
      <w:pPr>
        <w:pStyle w:val="BodyText"/>
      </w:pPr>
      <w:r>
        <w:t xml:space="preserve">Two qualifications follow from the resampling analyses (Supplementary Fig. S11). First, the reference point for the warming coefficient is not unity. Permuting accumulated warming among species within a province-year, or the event indicator among the species at risk, still returns a hazard ratio of 1.157–1.167, because both preserve the covariance between provincial-annual climate and event counts. The observed 1.362 lies outside that null distribution (</w:t>
      </w:r>
      <w:r>
        <w:rPr>
          <w:i/>
          <w:iCs/>
        </w:rPr>
        <w:t xml:space="preserve">P</w:t>
      </w:r>
      <w:r>
        <w:t xml:space="preserve"> </w:t>
      </w:r>
      <w:r>
        <w:t xml:space="preserve">= 0.005 in both cases), but the increment attributable to the species-specific referencing is 1.362/1.157 ≈ 1.18 rather than 1.36; the remainder is a baseline shared with the null. The effort coefficient behaves differently: permuting effort across years within a province collapses it to 0.980, with the null 95% interval covering unity, so it derives from the temporal alignment of effort and events, not from cross-sectional contrasts between provinces. Second, the Wald intervals are slightly narrow under provincial clustering. A cluster bootstrap resampling provinces widens them to 1.20–1.72 for warming and 1.21–1.76 for effort; both lower bounds still exceed unity, and the interaction remains bounded away from it (0.74–0.99).</w:t>
      </w:r>
    </w:p>
    <w:p>
      <w:pPr>
        <w:pStyle w:val="BodyText"/>
      </w:pPr>
      <w:r>
        <w:t xml:space="preserve">In natural units (Fig. 3c), one standard deviation of accumulated warming is</w:t>
      </w:r>
      <w:r>
        <w:t xml:space="preserve"> </w:t>
      </w:r>
      <w:r>
        <w:rPr>
          <w:b/>
          <w:bCs/>
        </w:rPr>
        <w:t xml:space="preserve">0.179 °C</w:t>
      </w:r>
      <w:r>
        <w:t xml:space="preserve">: a province that has warmed by that much more than a species’ own historical Chinese range carries a 36% higher annual hazard for that species. Across the observed range of the variable, −0.65 °C to +0.61 °C, the implied hazard spans roughly ninefold. One standard deviation of survey effort corresponds to a</w:t>
      </w:r>
      <w:r>
        <w:t xml:space="preserve"> </w:t>
      </w:r>
      <w:r>
        <w:rPr>
          <w:b/>
          <w:bCs/>
        </w:rPr>
        <w:t xml:space="preserve">7.75-fold</w:t>
      </w:r>
      <w:r>
        <w:t xml:space="preserve"> </w:t>
      </w:r>
      <w:r>
        <w:t xml:space="preserve">increase in annual provincial visits, from a median of 60 visits per year to about 465.</w:t>
      </w:r>
    </w:p>
    <w:p>
      <w:pPr>
        <w:pStyle w:val="BodyText"/>
      </w:pPr>
      <w:r>
        <w:t xml:space="preserve">The climate variable is genuinely species-specific, not a relabelled regional index (Fig. 3a, b). Decomposing its variance, 39% of the variation in accumulated warming and 55% of the variation in the raw gradient arise</w:t>
      </w:r>
      <w:r>
        <w:t xml:space="preserve"> </w:t>
      </w:r>
      <w:r>
        <w:rPr>
          <w:i/>
          <w:iCs/>
        </w:rPr>
        <w:t xml:space="preserve">within</w:t>
      </w:r>
      <w:r>
        <w:t xml:space="preserve"> </w:t>
      </w:r>
      <w:r>
        <w:t xml:space="preserve">province-years, that is, purely from differences among species. In Yunnan in 2020, accumulated warming ranges from +0.309 °C for</w:t>
      </w:r>
      <w:r>
        <w:t xml:space="preserve"> </w:t>
      </w:r>
      <w:r>
        <w:rPr>
          <w:i/>
          <w:iCs/>
        </w:rPr>
        <w:t xml:space="preserve">Aethopyga christinae</w:t>
      </w:r>
      <w:r>
        <w:t xml:space="preserve">, whose Chinese range has warmed less than Yunnan has, to −0.280 °C for</w:t>
      </w:r>
      <w:r>
        <w:t xml:space="preserve"> </w:t>
      </w:r>
      <w:r>
        <w:rPr>
          <w:i/>
          <w:iCs/>
        </w:rPr>
        <w:t xml:space="preserve">Coracias garrulus</w:t>
      </w:r>
      <w:r>
        <w:t xml:space="preserve">, whose range has warmed more. A province-level warming index cannot make that distinction.</w:t>
      </w:r>
    </w:p>
    <w:p>
      <w:pPr>
        <w:pStyle w:val="BodyText"/>
      </w:pPr>
      <w:r>
        <w:t xml:space="preserve">Four independent importance criteria agree that warming and effort are of comparable weight, with warming slightly ahead on discrimination (Fig. 2c). Dropping accumulated warming costs 28.7 AIC units and 0.053 of marginal AUC; dropping survey effort costs 29.5 AIC units and 0.032 of marginal AUC. The interaction costs 6.5 AIC units. Annual variability costs −2.0 AIC units, that is, the model is marginally better without it; we retain it because it is one half of a pre-specified decomposition and its null result is itself informative.</w:t>
      </w:r>
    </w:p>
    <w:p>
      <w:pPr>
        <w:pStyle w:val="BodyText"/>
      </w:pPr>
      <w:r>
        <w:t xml:space="preserve">The discrimination ladder makes the point most directly (Fig. 2d). With the random structure held at the main model, fixed-effect-only AUC rises from 0.411 for the null model to 0.559 with effort alone, 0.580 with accumulated warming alone, and 0.610 with both. Climate alone discriminates better than effort alone; neither alone approaches the pair.</w:t>
      </w:r>
    </w:p>
    <w:bookmarkEnd w:id="13"/>
    <w:bookmarkStart w:id="14" w:name="X4964e81b6b6a7a31e5e5620c741e270c4b55e0f"/>
    <w:p>
      <w:pPr>
        <w:pStyle w:val="Heading3"/>
      </w:pPr>
      <w:r>
        <w:t xml:space="preserve">Separating the observation process requires a province-by-year level</w:t>
      </w:r>
    </w:p>
    <w:p>
      <w:pPr>
        <w:pStyle w:val="FirstParagraph"/>
      </w:pPr>
      <w:r>
        <w:t xml:space="preserve">We evaluated six random-effect structures against four criteria rather than AIC alone (Table 3; Supplementary Fig. S1). Adding a province-by-year intercept to the conventional species + province structure improves AIC by 93.4 units, raises conditional</w:t>
      </w:r>
      <w:r>
        <w:t xml:space="preserve"> </w:t>
      </w:r>
      <w:r>
        <w:rPr>
          <w:i/>
          <w:iCs/>
        </w:rPr>
        <w:t xml:space="preserve">R</w:t>
      </w:r>
      <w:r>
        <w:t xml:space="preserve">² from 0.274 to 0.411, raises conditional AUC from 0.721 to 0.854, and raises the intraclass correlation from 0.172 to 0.358. Crucially, marginal AUC — the discrimination attributable to fixed effects — is flat across all six structures (0.607–0.613), confirming that the random structure absorbs observational heterogeneity without redistributing the fixed-effect signal.</w:t>
      </w:r>
    </w:p>
    <w:p>
      <w:pPr>
        <w:pStyle w:val="BodyText"/>
      </w:pPr>
      <w:r>
        <w:t xml:space="preserve">Two structures with random slopes fit marginally better — a species-specific slope on accumulated warming (ΔAIC 4.5) and a province-specific slope on effort (ΔAIC 0.0, the AIC optimum) — but both</w:t>
      </w:r>
      <w:r>
        <w:t xml:space="preserve"> </w:t>
      </w:r>
      <w:r>
        <w:rPr>
          <w:i/>
          <w:iCs/>
        </w:rPr>
        <w:t xml:space="preserve">reduce</w:t>
      </w:r>
      <w:r>
        <w:t xml:space="preserve"> </w:t>
      </w:r>
      <w:r>
        <w:t xml:space="preserve">conditional</w:t>
      </w:r>
      <w:r>
        <w:t xml:space="preserve"> </w:t>
      </w:r>
      <w:r>
        <w:rPr>
          <w:i/>
          <w:iCs/>
        </w:rPr>
        <w:t xml:space="preserve">R</w:t>
      </w:r>
      <w:r>
        <w:t xml:space="preserve">² (0.403 and 0.395 respectively, against 0.411), and their fixed effects are indistinguishable from those of the main model (effort 1.397 and 1.372; warming 1.348 and 1.366; Supplementary Fig. S1). We therefore freeze the three-level intercept structure as the main model: it is the most parsimonious of the three indistinguishable options, it has the highest explanatory power, and every term has a direct ecological or observational reading. No variance component collapses in any structure (minimum standard deviation 0.274).</w:t>
      </w:r>
    </w:p>
    <w:bookmarkEnd w:id="14"/>
    <w:bookmarkStart w:id="15" w:name="what-each-level-of-the-model-means"/>
    <w:p>
      <w:pPr>
        <w:pStyle w:val="Heading3"/>
      </w:pPr>
      <w:r>
        <w:t xml:space="preserve">What each level of the model means</w:t>
      </w:r>
    </w:p>
    <w:p>
      <w:pPr>
        <w:pStyle w:val="FirstParagraph"/>
      </w:pPr>
      <w:r>
        <w:t xml:space="preserve">Each random term corresponds to a distinct process, and the fitted magnitudes are themselves results (Fig. 3d, Fig. 4; Supplementary Table S2).</w:t>
      </w:r>
    </w:p>
    <w:p>
      <w:pPr>
        <w:pStyle w:val="BodyText"/>
      </w:pPr>
      <w:r>
        <w:rPr>
          <w:i/>
          <w:iCs/>
        </w:rPr>
        <w:t xml:space="preserve">Species (SD 0.405).</w:t>
      </w:r>
      <w:r>
        <w:t xml:space="preserve"> </w:t>
      </w:r>
      <w:r>
        <w:t xml:space="preserve">Species differ in intrinsic detectability for reasons no covariate in the model captures: body size, song conspicuousness, habitat accessibility, population density and taxonomic attention. One standard deviation multiplies the hazard by 1.50, and the fitted species span a 3.7-fold range.</w:t>
      </w:r>
    </w:p>
    <w:p>
      <w:pPr>
        <w:pStyle w:val="BodyText"/>
      </w:pPr>
      <w:r>
        <w:rPr>
          <w:i/>
          <w:iCs/>
        </w:rPr>
        <w:t xml:space="preserve">Province (SD 0.326).</w:t>
      </w:r>
      <w:r>
        <w:t xml:space="preserve"> </w:t>
      </w:r>
      <w:r>
        <w:t xml:space="preserve">Provinces differ in their baseline setting for discovery — area, terrain complexity, habitat diversity, observer population and regional research tradition. One standard deviation multiplies the hazard by 1.39.</w:t>
      </w:r>
    </w:p>
    <w:p>
      <w:pPr>
        <w:pStyle w:val="BodyText"/>
      </w:pPr>
      <w:r>
        <w:rPr>
          <w:i/>
          <w:iCs/>
        </w:rPr>
        <w:t xml:space="preserve">Province by year (SD 0.804).</w:t>
      </w:r>
      <w:r>
        <w:t xml:space="preserve"> </w:t>
      </w:r>
      <w:r>
        <w:t xml:space="preserve">This is the single largest variance component in the model, and it is the reason the level was added. One standard deviation multiplies the hazard by 2.23 — more than either fixed effect — and the fitted levels span a thirteenfold range (Fig. 4c). Ecologically it represents the scale at which the observation process actually operates: a regional survey campaign, a provincial birding festival, a newly established protected area, or a new local reporting channel raises the documentation rate for one province in one year.</w:t>
      </w:r>
    </w:p>
    <w:p>
      <w:pPr>
        <w:pStyle w:val="BodyText"/>
      </w:pPr>
      <w:r>
        <w:rPr>
          <w:i/>
          <w:iCs/>
        </w:rPr>
        <w:t xml:space="preserve">Reporting completeness offset.</w:t>
      </w:r>
      <w:r>
        <w:t xml:space="preserve"> </w:t>
      </w:r>
      <w:r>
        <w:t xml:space="preserve">Not a free parameter but a known correction, so it consumes no degrees of freedom. Omitting it attenuates the effort coefficient from 1.372 to 1.245, because censoring is concentrated in the recent, high-effort years.</w:t>
      </w:r>
    </w:p>
    <w:bookmarkEnd w:id="15"/>
    <w:bookmarkStart w:id="16" w:name="Xf38245127daa17f58c79a23a62853ee4cbb15cc"/>
    <w:p>
      <w:pPr>
        <w:pStyle w:val="Heading3"/>
      </w:pPr>
      <w:r>
        <w:t xml:space="preserve">Migratory strategy shifts the baseline, not the drivers</w:t>
      </w:r>
    </w:p>
    <w:p>
      <w:pPr>
        <w:pStyle w:val="FirstParagraph"/>
      </w:pPr>
      <w:r>
        <w:t xml:space="preserve">Migratory strategy shifts the baseline hazard: adding it as a main effect improves fit (ΔAIC 6.2 relative to the model without it) and is the best model in the ladder. It does not, however, moderate either driver. Adding warming × strategy, effort × strategy, both, or the full three-way warming × effort × strategy each</w:t>
      </w:r>
      <w:r>
        <w:t xml:space="preserve"> </w:t>
      </w:r>
      <w:r>
        <w:rPr>
          <w:i/>
          <w:iCs/>
        </w:rPr>
        <w:t xml:space="preserve">worsens</w:t>
      </w:r>
      <w:r>
        <w:t xml:space="preserve"> </w:t>
      </w:r>
      <w:r>
        <w:t xml:space="preserve">AIC, and none is supported by a likelihood-ratio test (</w:t>
      </w:r>
      <w:r>
        <w:rPr>
          <w:i/>
          <w:iCs/>
        </w:rPr>
        <w:t xml:space="preserve">P</w:t>
      </w:r>
      <w:r>
        <w:t xml:space="preserve"> </w:t>
      </w:r>
      <w:r>
        <w:t xml:space="preserve">= 0.693, 0.854, 0.899 and 0.256 respectively). Fitting each group separately gives the same picture, with almost completely overlapping intervals. Group sample sizes, group-specific hazard ratios, the exclusion of species whose strategy is unrecorded, and a warming × effort interaction confined to long-distance migrants — which we report as a hypothesis for a larger compilation rather than as a result, because the formal test for heterogeneity among groups is not significant — are given in Supplementary Note S3 (Supplementary Fig. S3; Supplementary Table S3).</w:t>
      </w:r>
    </w:p>
    <w:bookmarkEnd w:id="16"/>
    <w:bookmarkStart w:id="17" w:name="which-species-and-which-provinces"/>
    <w:p>
      <w:pPr>
        <w:pStyle w:val="Heading3"/>
      </w:pPr>
      <w:r>
        <w:t xml:space="preserve">Which species, and which provinces</w:t>
      </w:r>
    </w:p>
    <w:p>
      <w:pPr>
        <w:pStyle w:val="FirstParagraph"/>
      </w:pPr>
      <w:r>
        <w:t xml:space="preserve">Two complementary questions operate at coarser levels: which species yield a new provincial record at all, and which provinces accumulate more of them. Both were addressed with the trait and count models detailed in Supplementary Note S4 (Supplementary Figs S4, S5; Supplementary Tables S4–S6); we report here the two results that bear on the hazard model.</w:t>
      </w:r>
    </w:p>
    <w:p>
      <w:pPr>
        <w:pStyle w:val="BodyText"/>
      </w:pPr>
      <w:r>
        <w:rPr>
          <w:i/>
          <w:iCs/>
        </w:rPr>
        <w:t xml:space="preserve">Species level.</w:t>
      </w:r>
      <w:r>
        <w:t xml:space="preserve"> </w:t>
      </w:r>
      <w:r>
        <w:t xml:space="preserve">Across the 1,298 modelled species and three treatments of phylogenetic non-independence, two effects hold. Partial migrants are about twice as likely as residents to yield a new provincial record (odds ratio 1.91–2.50 across treatments, all</w:t>
      </w:r>
      <w:r>
        <w:t xml:space="preserve"> </w:t>
      </w:r>
      <w:r>
        <w:rPr>
          <w:i/>
          <w:iCs/>
        </w:rPr>
        <w:t xml:space="preserve">P</w:t>
      </w:r>
      <w:r>
        <w:t xml:space="preserve"> </w:t>
      </w:r>
      <w:r>
        <w:t xml:space="preserve">&lt; 0.001), and range size raises the odds by 1.23–1.46 per standard deviation. This converges with the hazard model from a different direction: partial migrants also carry the highest raw event rate there (0.417% against 0.29–0.33%). Range size must be measured as an</w:t>
      </w:r>
      <w:r>
        <w:t xml:space="preserve"> </w:t>
      </w:r>
      <w:r>
        <w:rPr>
          <w:b/>
          <w:bCs/>
        </w:rPr>
        <w:t xml:space="preserve">area</w:t>
      </w:r>
      <w:r>
        <w:t xml:space="preserve">, not as a count of provinces occupied, because the trait database was published in 2022 and its provincial counts therefore already contain the records used as the response; the two independent area measures agree, giving 1.456 for global range area and 1.653 for Chinese range area (Supplementary Table S4).</w:t>
      </w:r>
    </w:p>
    <w:p>
      <w:pPr>
        <w:pStyle w:val="BodyText"/>
      </w:pPr>
      <w:r>
        <w:rPr>
          <w:i/>
          <w:iCs/>
        </w:rPr>
        <w:t xml:space="preserve">Province level.</w:t>
      </w:r>
      <w:r>
        <w:t xml:space="preserve"> </w:t>
      </w:r>
      <w:r>
        <w:t xml:space="preserve">Counts of new records per province are overdispersed relative to Poisson and are modelled as negative binomial. The informative specification treats recent survey effort as an offset, so that the response becomes the discovery rate per unit of effort: provinces already well covered in 2002–2008 then yield fewer records per unit of recent effort (0.71,</w:t>
      </w:r>
      <w:r>
        <w:t xml:space="preserve"> </w:t>
      </w:r>
      <w:r>
        <w:rPr>
          <w:i/>
          <w:iCs/>
        </w:rPr>
        <w:t xml:space="preserve">P</w:t>
      </w:r>
      <w:r>
        <w:t xml:space="preserve"> </w:t>
      </w:r>
      <w:r>
        <w:t xml:space="preserve">= 0.028), as does higher GDP per capita (0.61,</w:t>
      </w:r>
      <w:r>
        <w:t xml:space="preserve"> </w:t>
      </w:r>
      <w:r>
        <w:rPr>
          <w:i/>
          <w:iCs/>
        </w:rPr>
        <w:t xml:space="preserve">P</w:t>
      </w:r>
      <w:r>
        <w:t xml:space="preserve"> </w:t>
      </w:r>
      <w:r>
        <w:t xml:space="preserve">= 0.0027). Hierarchical partitioning attributes 51.2% of the explained deviance to species richness, 33.3% to area and 9% to the two effort terms combined, with the full model explaining 20.5% of deviance.</w:t>
      </w:r>
    </w:p>
    <w:p>
      <w:pPr>
        <w:pStyle w:val="BodyText"/>
      </w:pPr>
      <w:r>
        <w:t xml:space="preserve">Effort therefore appears at the provincial scale not as a count effect but as diminishing returns — the same signal the hazard model shows as an effort coefficient that falls through time. Two analyses at different levels converge: China’s observational capacity is now large enough that additional effort recovers progressively less of what remains undocumented.</w:t>
      </w:r>
    </w:p>
    <w:bookmarkEnd w:id="17"/>
    <w:bookmarkStart w:id="18" w:name="Xc6bca05a8d0c9105c2bfd59170cf82c9f277673"/>
    <w:p>
      <w:pPr>
        <w:pStyle w:val="Heading3"/>
      </w:pPr>
      <w:r>
        <w:t xml:space="preserve">New records are strongly biased toward the east and northeast</w:t>
      </w:r>
    </w:p>
    <w:p>
      <w:pPr>
        <w:pStyle w:val="FirstParagraph"/>
      </w:pPr>
      <w:r>
        <w:t xml:space="preserve">Were new records simply filling survey gaps at random, they would fall on all sides of a species’ known range with equal frequency. They do not. Taking the bearing from the centroid of each species’ BirdLife range to the record itself and binning into eight sectors, direction is far from uniform (χ² = 580.1, df = 7,</w:t>
      </w:r>
      <w:r>
        <w:t xml:space="preserve"> </w:t>
      </w:r>
      <w:r>
        <w:rPr>
          <w:i/>
          <w:iCs/>
        </w:rPr>
        <w:t xml:space="preserve">P</w:t>
      </w:r>
      <w:r>
        <w:t xml:space="preserve"> </w:t>
      </w:r>
      <w:r>
        <w:t xml:space="preserve">= 4.6 × 10⁻¹²¹; Fig. 5). Two sectors are over-represented after Holm correction: east holds 237 of 642 records (36.9%, against 80.2 expected) and northeast 179 (27.9%). South and west are nearly empty, with 20 and 19.</w:t>
      </w:r>
    </w:p>
    <w:p>
      <w:pPr>
        <w:pStyle w:val="BodyText"/>
      </w:pPr>
      <w:r>
        <w:t xml:space="preserve">The pattern is not carried by one taxon: five of the well-sampled orders reject uniformity on their own — Passeriformes (χ² = 376.6,</w:t>
      </w:r>
      <w:r>
        <w:t xml:space="preserve"> </w:t>
      </w:r>
      <w:r>
        <w:rPr>
          <w:i/>
          <w:iCs/>
        </w:rPr>
        <w:t xml:space="preserve">P</w:t>
      </w:r>
      <w:r>
        <w:t xml:space="preserve"> </w:t>
      </w:r>
      <w:r>
        <w:t xml:space="preserve">= 2.5 × 10⁻⁷⁷), Anseriformes (64.0), Accipitriformes (52.5), Charadriiformes (45.5) and Columbiformes (29.1) — and in every case the significant sectors are east, northeast or both.</w:t>
      </w:r>
    </w:p>
    <w:p>
      <w:pPr>
        <w:pStyle w:val="BodyText"/>
      </w:pPr>
      <w:r>
        <w:t xml:space="preserve">Two mechanisms are consistent with this and cannot be separated by these data. The eastern half of China holds the great majority of the observer population, so a species’ range edge is far more likely to be watched on its eastern than on its western side; this is the observational reading, and it is the same asymmetry the province-by-year variance component captures. The ecological reading is that eastern and north-eastern range margins are where suitable climate is expanding fastest for a warming-tracking assemblage. That birds show an eastward rather than a northward bias tilts the balance toward the observational reading: China’s observer gradient runs west-to-east, not south-to-north.</w:t>
      </w:r>
    </w:p>
    <w:bookmarkEnd w:id="18"/>
    <w:bookmarkStart w:id="19" w:name="the-return-on-survey-effort-is-declining"/>
    <w:p>
      <w:pPr>
        <w:pStyle w:val="Heading3"/>
      </w:pPr>
      <w:r>
        <w:t xml:space="preserve">The return on survey effort is declining</w:t>
      </w:r>
    </w:p>
    <w:p>
      <w:pPr>
        <w:pStyle w:val="FirstParagraph"/>
      </w:pPr>
      <w:r>
        <w:t xml:space="preserve">The proportional-hazards assumption holds for accumulated warming (interaction with time β = −0.022,</w:t>
      </w:r>
      <w:r>
        <w:t xml:space="preserve"> </w:t>
      </w:r>
      <w:r>
        <w:rPr>
          <w:i/>
          <w:iCs/>
        </w:rPr>
        <w:t xml:space="preserve">P</w:t>
      </w:r>
      <w:r>
        <w:t xml:space="preserve"> </w:t>
      </w:r>
      <w:r>
        <w:t xml:space="preserve">= 0.82) but not for effort (β = −0.211,</w:t>
      </w:r>
      <w:r>
        <w:t xml:space="preserve"> </w:t>
      </w:r>
      <w:r>
        <w:rPr>
          <w:i/>
          <w:iCs/>
        </w:rPr>
        <w:t xml:space="preserve">P</w:t>
      </w:r>
      <w:r>
        <w:t xml:space="preserve"> </w:t>
      </w:r>
      <w:r>
        <w:t xml:space="preserve">= 7.7 × 10⁻⁴). This is a substantive result rather than a diagnostic failure. Allowing the effort coefficient to vary through time, its hazard ratio falls from 2.18 (95% CI 1.63–2.90) in 2002 to 1.07 (0.88–1.30) in 2024, crossing into non-significance in the early 2020s (Fig. 4d). Two decades of intensifying observation have used up the readily detectable gaps, so an additional standard deviation of effort now yields far fewer first records than it did at the start of the period. That the climate term shows no such decline is the sharpest available evidence that the two coefficients are capturing different processes: a saturating observational process and a non-saturating climatic one.</w:t>
      </w:r>
    </w:p>
    <w:bookmarkEnd w:id="19"/>
    <w:bookmarkStart w:id="20" w:name="robustness"/>
    <w:p>
      <w:pPr>
        <w:pStyle w:val="Heading3"/>
      </w:pPr>
      <w:r>
        <w:t xml:space="preserve">Robustness</w:t>
      </w:r>
    </w:p>
    <w:p>
      <w:pPr>
        <w:pStyle w:val="FirstParagraph"/>
      </w:pPr>
      <w:r>
        <w:t xml:space="preserve">The conclusions do not depend on any freely chosen analytical decision (Fig. 6; Supplementary Note S5).</w:t>
      </w:r>
    </w:p>
    <w:p>
      <w:pPr>
        <w:pStyle w:val="BodyText"/>
      </w:pPr>
      <w:r>
        <w:rPr>
          <w:i/>
          <w:iCs/>
        </w:rPr>
        <w:t xml:space="preserve">Species-distribution-model threshold.</w:t>
      </w:r>
      <w:r>
        <w:t xml:space="preserve"> </w:t>
      </w:r>
      <w:r>
        <w:t xml:space="preserve">Raising the requirement from 50 to 200 suitable cells changes the risk set from 175,901 to 155,435 rows but leaves the coefficients essentially fixed (effort 1.404, 1.405, 1.411; warming 1.362, 1.376, 1.372; interaction 0.849, 0.851, 0.850).</w:t>
      </w:r>
    </w:p>
    <w:p>
      <w:pPr>
        <w:pStyle w:val="BodyText"/>
      </w:pPr>
      <w:r>
        <w:rPr>
          <w:i/>
          <w:iCs/>
        </w:rPr>
        <w:t xml:space="preserve">Accumulation window and climate baseline.</w:t>
      </w:r>
      <w:r>
        <w:t xml:space="preserve"> </w:t>
      </w:r>
      <w:r>
        <w:t xml:space="preserve">We tested windows of 5, 10, 15 and 20 years jointly against three series (WorldClim 1980–2000, CRU 1980–2000 and CRU 1970–2000; the 1970–2000 baseline cannot be computed from the WorldClim downscaling) (Supplementary Fig. S2). The warming coefficient rises with window length in every series, from about 1.16–1.21 at five years to 1.36–1.40 at twenty years. This is the signature of a process that integrates climate over years to decades rather than responding to weather. A finer grid spanning 3 to 23 years (Supplementary Table S8) places the optimum at 18–20 years, interior to the tested range. We retain 15 years as pre-specified; it lies within 2.2–5.6 AIC units of the optimum in every series. The choice of baseline period, of data source and of climate indicator moves the warming estimate only slightly (Supplementary Note S5).</w:t>
      </w:r>
    </w:p>
    <w:p>
      <w:pPr>
        <w:pStyle w:val="BodyText"/>
      </w:pPr>
      <w:r>
        <w:t xml:space="preserve">Across all twelve combinations the effort coefficient is flat at 1.34–1.41, and the interaction is negative throughout (0.82–1.00). If the climate and effort terms were competing for the same variance, changing the climate specification would move the effort estimate. It does not, which is direct evidence that the two are separately identified.</w:t>
      </w:r>
    </w:p>
    <w:p>
      <w:pPr>
        <w:pStyle w:val="BodyText"/>
      </w:pPr>
      <w:r>
        <w:rPr>
          <w:i/>
          <w:iCs/>
        </w:rPr>
        <w:t xml:space="preserve">Effort proxy and missing-data rule.</w:t>
      </w:r>
      <w:r>
        <w:t xml:space="preserve"> </w:t>
      </w:r>
      <w:r>
        <w:t xml:space="preserve">All twelve combinations of four proxies (visits, observers, birding days, records) and three treatments of the 24 implausible zero cells (coverage gap, bounded within-province interpolation, zero-filling) give effort hazard ratios between 1.25 and 1.52 and warming hazard ratios between 1.35 and 1.37. The evidence that these cells are gaps in database coverage rather than years in which birdwatching ceased is given in Supplementary Note S5.</w:t>
      </w:r>
    </w:p>
    <w:bookmarkEnd w:id="20"/>
    <w:bookmarkStart w:id="21" w:name="model-adequacy"/>
    <w:p>
      <w:pPr>
        <w:pStyle w:val="Heading3"/>
      </w:pPr>
      <w:r>
        <w:t xml:space="preserve">Model adequacy</w:t>
      </w:r>
    </w:p>
    <w:p>
      <w:pPr>
        <w:pStyle w:val="FirstParagraph"/>
      </w:pPr>
      <w:r>
        <w:t xml:space="preserve">Simulation-based residual diagnostics indicate a well-calibrated model (Supplementary Fig. S9; Supplementary Table S1). Scaled residuals are uniform (Kolmogorov–Smirnov</w:t>
      </w:r>
      <w:r>
        <w:t xml:space="preserve"> </w:t>
      </w:r>
      <w:r>
        <w:rPr>
          <w:i/>
          <w:iCs/>
        </w:rPr>
        <w:t xml:space="preserve">P</w:t>
      </w:r>
      <w:r>
        <w:t xml:space="preserve"> </w:t>
      </w:r>
      <w:r>
        <w:t xml:space="preserve">= 0.74), dispersion is correct (</w:t>
      </w:r>
      <w:r>
        <w:rPr>
          <w:i/>
          <w:iCs/>
        </w:rPr>
        <w:t xml:space="preserve">P</w:t>
      </w:r>
      <w:r>
        <w:t xml:space="preserve"> </w:t>
      </w:r>
      <w:r>
        <w:t xml:space="preserve">= 0.59) and there is no zero inflation (</w:t>
      </w:r>
      <w:r>
        <w:rPr>
          <w:i/>
          <w:iCs/>
        </w:rPr>
        <w:t xml:space="preserve">P</w:t>
      </w:r>
      <w:r>
        <w:t xml:space="preserve"> </w:t>
      </w:r>
      <w:r>
        <w:t xml:space="preserve">= 0.59). Province-mean residuals show no spatial autocorrelation (Moran’s</w:t>
      </w:r>
      <w:r>
        <w:t xml:space="preserve"> </w:t>
      </w:r>
      <w:r>
        <w:rPr>
          <w:i/>
          <w:iCs/>
        </w:rPr>
        <w:t xml:space="preserve">I</w:t>
      </w:r>
      <w:r>
        <w:t xml:space="preserve"> </w:t>
      </w:r>
      <w:r>
        <w:t xml:space="preserve">= −0.038; permutation</w:t>
      </w:r>
      <w:r>
        <w:t xml:space="preserve"> </w:t>
      </w:r>
      <w:r>
        <w:rPr>
          <w:i/>
          <w:iCs/>
        </w:rPr>
        <w:t xml:space="preserve">P</w:t>
      </w:r>
      <w:r>
        <w:t xml:space="preserve"> </w:t>
      </w:r>
      <w:r>
        <w:t xml:space="preserve">= 0.86). The outlier test is significant (95 outliers), as is expected of a binary outcome with an event rate of 0.37%.</w:t>
      </w:r>
    </w:p>
    <w:p>
      <w:pPr>
        <w:pStyle w:val="BodyText"/>
      </w:pPr>
      <w:r>
        <w:t xml:space="preserve">Three resampling analyses complete the assessment (Supplementary Note S6; Supplementary Fig. S11). A cluster bootstrap shows that provincial clustering inflates the standard errors by a factor of 1.26–1.59 relative to the model-based values, whereas species clustering does not (0.86–1.17); Table 2 reports both. A parametric bootstrap recovers the coefficients with absolute bias below 0.01 on the log-hazard scale and gives actual coverage of 91.3–95.3% for the nominal 95% interval. Leaving out each province in turn, and each of ten species deciles, moves the coefficients by at most 4.2%, with 9 of 164 combinations exceeding 3%: no single province or species group carries the result.</w:t>
      </w:r>
    </w:p>
    <w:bookmarkEnd w:id="21"/>
    <w:bookmarkStart w:id="22" w:name="X30c910c5c654a1a1551de8e16c7c8a457dac784"/>
    <w:p>
      <w:pPr>
        <w:pStyle w:val="Heading3"/>
      </w:pPr>
      <w:r>
        <w:t xml:space="preserve">How far can these relationships be projected?</w:t>
      </w:r>
    </w:p>
    <w:p>
      <w:pPr>
        <w:pStyle w:val="FirstParagraph"/>
      </w:pPr>
      <w:r>
        <w:t xml:space="preserve">We projected the fitted hazard under CMIP6 SSP2-4.5 and SSP5-8.5 for 2030, 2050 and 2080, then asked how much of each scenario lies inside the range over which the model was fitted (Fig. 7b). The answer sharply constrains what can be claimed. The historical species-specific gradient has a standard deviation of only 0.18 °C, because provincial and range-wide anomalies largely move together. Future province-minus-range warming differentials reach 2 °C, more than ten standard deviations beyond the fitted range. Consequently, only 47.8% of species-province cells fall inside the fitted covariate support under SSP2-4.5 in 2030, 10.4% in 2050 and 2.1% in 2080; under SSP5-8.5 the corresponding figures are 34.2%, 2.1% and 1.9%.</w:t>
      </w:r>
    </w:p>
    <w:p>
      <w:pPr>
        <w:pStyle w:val="BodyText"/>
      </w:pPr>
      <w:r>
        <w:t xml:space="preserve">Restricted to cells inside the support, the mechanistic model projects hazard ratios relative to 2024 of 0.79 to 2.94 (Supplementary Fig. S6). Applied without the mask, the same model produces ratios up to 78 (Supplementary Fig. S10). We regard the masked surfaces as the defensible result.</w:t>
      </w:r>
    </w:p>
    <w:p>
      <w:pPr>
        <w:pStyle w:val="BodyText"/>
      </w:pPr>
      <w:r>
        <w:t xml:space="preserve">A gradient-boosted comparison model trained on the same three predictors reinforces the point (Supplementary Note S7; Supplementary Figs S7, S8). Within the observed range the two model families track each other across province-years (Spearman ρ = 0.54); outside it they agree on the direction of change in only 23.7% of cells, falling to 6.5% under SSP5-8.5 in 2080. The cause is structural: tree ensembles saturate once covariates leave the training support, whereas the complementary log-log model extrapolates linearly on the log-hazard scale.</w:t>
      </w:r>
    </w:p>
    <w:p>
      <w:pPr>
        <w:pStyle w:val="BodyText"/>
      </w:pPr>
      <w:r>
        <w:t xml:space="preserve">Treating climate and effort as independent scenario axes shows which one governs future record generation (Supplementary Fig. S16): with effort frozen at 2024, switching SSP2-4.5 for SSP5-8.5 leaves the national expectation unchanged (23.2 versus 23.1 records per year in 2030), whereas effort growing at half its observed pace raises the 2050 expectation from 23.6 to 57–62—with only 2% of cells still inside the fitted support. A random forest and XGBoost under identical designs behave alike, leading on leave-species folds but trailing on temporal and leave-one-province prediction, while all three families agree on where records will fall (ρ 0.62–0.90; Supplementary Note S8; Supplementary Figs S17, S18).</w:t>
      </w:r>
    </w:p>
    <w:bookmarkEnd w:id="22"/>
    <w:bookmarkStart w:id="23" w:name="X8f48b26bec44b4cd3d2ae3636e3e58a4d0c8607"/>
    <w:p>
      <w:pPr>
        <w:pStyle w:val="Heading3"/>
      </w:pPr>
      <w:r>
        <w:t xml:space="preserve">Reserve records measure the observation process, not reserve performance</w:t>
      </w:r>
    </w:p>
    <w:p>
      <w:pPr>
        <w:pStyle w:val="FirstParagraph"/>
      </w:pPr>
      <w:r>
        <w:t xml:space="preserve">Twenty-six per cent of new records fall inside one of the 1,028 mapped Chinese nature reserves, against a land-area share of 10.4% — an apparent 2.5-fold enrichment ordinarily read as evidence that the reserve network is receiving redistributing species. We tested that reading against the observation process, using GBIF/eBird checklists to define availability as</w:t>
      </w:r>
      <w:r>
        <w:t xml:space="preserve"> </w:t>
      </w:r>
      <w:r>
        <w:rPr>
          <w:i/>
          <w:iCs/>
        </w:rPr>
        <w:t xml:space="preserve">where birdwatchers actually went</w:t>
      </w:r>
      <w:r>
        <w:t xml:space="preserve"> </w:t>
      </w:r>
      <w:r>
        <w:t xml:space="preserve">and matching each event to controls from the same province and year, weighted by the checklists recorded there (matched design, two counter-tests, persistence of first records and the reserve–warming comparison in Supplementary Note S2; Supplementary Figs S12–S14).</w:t>
      </w:r>
    </w:p>
    <w:p>
      <w:pPr>
        <w:pStyle w:val="BodyText"/>
      </w:pPr>
      <w:r>
        <w:t xml:space="preserve">Nationally, birding effort is not concentrated in reserves: the checklist-weighted share inside reserves is 10.8%, indistinguishable from the area share. Conditioning on province and year, the enrichment falls from 2.5-fold to an odds ratio of 1.71 (95% CI 1.39–2.11), and to 1.57 (1.26–1.96) after adding elevation, longitude and two bioclimatic covariates.</w:t>
      </w:r>
    </w:p>
    <w:p>
      <w:pPr>
        <w:pStyle w:val="BodyText"/>
      </w:pPr>
      <w:r>
        <w:t xml:space="preserve">The residual association is itself largely observational. It is carried by very few sites: the 172 inside-reserve events fall in only 68 reserves (6.6% of the 1,028), the top two account for 27.3%, and a block bootstrap resampling host reserves rather than records widens the interval to 0.89–3.19. It is also confined to the period of rapid growth in birdwatching: the odds ratio is 2.05 (1.61–2.59) for 2013–2023 but 0.97 (0.62–1.50) for 2002–2012, although the mapped reserve network gained no area after 2012.</w:t>
      </w:r>
    </w:p>
    <w:p>
      <w:pPr>
        <w:pStyle w:val="BodyText"/>
      </w:pPr>
      <w:r>
        <w:t xml:space="preserve">Because within-site observation bias cannot be conditioned out, we treat the inference as asymmetric and state the rule in advance: a null result would be strong evidence, a positive result weak. The odds ratio of 1.57 is therefore an upper bound on any ecological contribution, and the operational conclusion is that counts of new records inside reserves should not be used as an indicator of reserve performance. All statements apply only to the 1,028 mapped reserves established before 2012; because reserve status has almost no temporal variation within the window, we make no causal claim.</w:t>
      </w:r>
    </w:p>
    <w:bookmarkEnd w:id="23"/>
    <w:bookmarkEnd w:id="24"/>
    <w:bookmarkStart w:id="25" w:name="discussion"/>
    <w:p>
      <w:pPr>
        <w:pStyle w:val="Heading2"/>
      </w:pPr>
      <w:r>
        <w:t xml:space="preserve">Discussion</w:t>
      </w:r>
    </w:p>
    <w:p>
      <w:pPr>
        <w:pStyle w:val="FirstParagraph"/>
      </w:pPr>
      <w:r>
        <w:rPr>
          <w:b/>
          <w:bCs/>
        </w:rPr>
        <w:t xml:space="preserve">The date attached to a record is a modelling decision, not a bookkeeping detail.</w:t>
      </w:r>
      <w:r>
        <w:t xml:space="preserve"> </w:t>
      </w:r>
      <w:r>
        <w:t xml:space="preserve">Compilations of new distribution records are assembled from the published literature, and publication year is the field primary sources report consistently. Our decomposition shows that using it inflates the apparent contribution of survey effort by 37% and manufactures an effect of annual climate variability that does not exist. The bias is directional: because publication year and observational capacity both trend upward, the misalignment always favours the covariate that trends with observer numbers. Compilation-based analyses reporting an effort or sampling-intensity effect without discovery dates should be read with this in mind. Where discovery dates are unavailable, our completeness framework is a partial remedy; the first-order fix is to record and report the observation date.</w:t>
      </w:r>
    </w:p>
    <w:p>
      <w:pPr>
        <w:pStyle w:val="BodyText"/>
      </w:pPr>
      <w:r>
        <w:rPr>
          <w:b/>
          <w:bCs/>
        </w:rPr>
        <w:t xml:space="preserve">Accumulated warming is not a minor addition to a sampling story.</w:t>
      </w:r>
      <w:r>
        <w:t xml:space="preserve"> </w:t>
      </w:r>
      <w:r>
        <w:t xml:space="preserve">After correction, warming relative to a species’ historical range and survey effort contribute comparably, and warming discriminates slightly better between event and non-event cells. This is not a claim that new records are unbiased evidence of range expansion; the effort effect remains large, and the province-by-year variance component (standard deviation 0.804 on the latent scale) is the single largest source of heterogeneity in the model. It is a claim that the climate signal is not an artefact of where people look, because it survives the inclusion of effort at four proxies, three missing-data rules, three candidate-pool definitions and a random structure that absorbs province-year observational shocks. The permutation nulls fix the correct reference point: part of the distance from unity is a structural baseline that any species-blind analysis would reproduce, and it is the species-specific increment that carries the ecological content.</w:t>
      </w:r>
    </w:p>
    <w:p>
      <w:pPr>
        <w:pStyle w:val="BodyText"/>
      </w:pPr>
      <w:r>
        <w:t xml:space="preserve">The negative interaction refines this: warming raises the hazard most where survey effort is low. Two non-exclusive readings fit the data. Ecologically, sparsely surveyed provinces in China are disproportionately western and montane, where climatic gradients are steep and small temperature changes translate into large habitat displacements. Observationally, densely surveyed provinces have already absorbed much of their Wallacean shortfall, so the pool of species available to be newly recorded is depleted regardless of climate. The declining marginal return of effort through time, which we detect as a violation of proportional hazards for that term alone, supports the second reading. Projected forward, the same asymmetry recurs: future record counts depend far more on how survey effort develops than on the emissions pathway, and that increase falls outside the fitted support.</w:t>
      </w:r>
    </w:p>
    <w:p>
      <w:pPr>
        <w:pStyle w:val="BodyText"/>
      </w:pPr>
      <w:r>
        <w:rPr>
          <w:b/>
          <w:bCs/>
        </w:rPr>
        <w:t xml:space="preserve">Projection is limited by covariate support, not by scenario availability.</w:t>
      </w:r>
      <w:r>
        <w:t xml:space="preserve"> </w:t>
      </w:r>
      <w:r>
        <w:t xml:space="preserve">Our support diagnostic shows that under late-century scenarios fewer than one in fifty species-province cells resembles anything in the fitted data, because the species-specific climate gradient — a difference between two covarying anomalies — has a historical standard deviation an order of magnitude smaller than the future warming differentials imposed on it. The consequence is not merely wide uncertainty; it is that mechanistic and machine-learning models trained on identical data disagree on the direction of change in three quarters of cells. We recommend that projections of record generation, and of range-shift indicators built on species-specific climate differentials, routinely report the fraction of projected cells inside the fitted support</w:t>
      </w:r>
      <w:r>
        <w:rPr>
          <w:vertAlign w:val="superscript"/>
        </w:rPr>
        <w:t xml:space="preserve">74,76,77</w:t>
      </w:r>
      <w:r>
        <w:t xml:space="preserve">. Where that fraction is small, the honest product is a near-term surface with an explicit support mask, not a century-scale map.</w:t>
      </w:r>
    </w:p>
    <w:p>
      <w:pPr>
        <w:pStyle w:val="BodyText"/>
      </w:pPr>
      <w:r>
        <w:rPr>
          <w:b/>
          <w:bCs/>
        </w:rPr>
        <w:t xml:space="preserve">Implications for monitoring and conservation planning.</w:t>
      </w:r>
      <w:r>
        <w:t xml:space="preserve"> </w:t>
      </w:r>
      <w:r>
        <w:t xml:space="preserve">A single province-year shock of one standard deviation multiplies the hazard by 2.2, more than either driver, so targeted survey campaigns have large and immediate effects on the biodiversity record and should be allocated deliberately rather than opportunistically. The negative interaction supplies the allocation rule: effort added to under-covered, climatically dynamic provinces yields more new documentation per unit effort than the same investment in well-covered provinces. Because the marginal return of effort has declined measurably within two decades, a plateau in new records should not be read as evidence that redistribution has slowed.</w:t>
      </w:r>
    </w:p>
    <w:p>
      <w:pPr>
        <w:pStyle w:val="BodyText"/>
      </w:pPr>
      <w:r>
        <w:rPr>
          <w:b/>
          <w:bCs/>
        </w:rPr>
        <w:t xml:space="preserve">Limitations.</w:t>
      </w:r>
      <w:r>
        <w:t xml:space="preserve"> </w:t>
      </w:r>
      <w:r>
        <w:t xml:space="preserve">Our events are formal published records, not detections; a species present but undocumented contributes to the non-event cells, so all coefficients describe the generation of</w:t>
      </w:r>
      <w:r>
        <w:t xml:space="preserve"> </w:t>
      </w:r>
      <w:r>
        <w:rPr>
          <w:i/>
          <w:iCs/>
        </w:rPr>
        <w:t xml:space="preserve">documented</w:t>
      </w:r>
      <w:r>
        <w:t xml:space="preserve"> </w:t>
      </w:r>
      <w:r>
        <w:t xml:space="preserve">records rather than of range expansions per se. The effort panel is provincial and annual, which is coarse relative to the scale at which observers actually operate. The candidate pool is defined by species-distribution models, whose thresholds we varied but whose structural assumptions we did not. Vagrant taxa without established Chinese ranges were excluded, so our results describe range-margin dynamics rather than long-distance displacement. Finally, the discovery-year series is right-censored at its most recent end; the completeness offset corrects the expected hazard but cannot recover the individual records that have not yet been published.</w:t>
      </w:r>
    </w:p>
    <w:bookmarkEnd w:id="25"/>
    <w:bookmarkStart w:id="26" w:name="references"/>
    <w:p>
      <w:pPr>
        <w:pStyle w:val="Heading2"/>
      </w:pPr>
      <w:r>
        <w:t xml:space="preserve">References</w:t>
      </w:r>
    </w:p>
    <w:p>
      <w:pPr>
        <w:pStyle w:val="Compact"/>
        <w:numPr>
          <w:ilvl w:val="0"/>
          <w:numId w:val="1001"/>
        </w:numPr>
      </w:pPr>
      <w:r>
        <w:t xml:space="preserve">Hortal, J. et al. Seven shortfalls that beset large-scale knowledge of biodiversity.</w:t>
      </w:r>
      <w:r>
        <w:t xml:space="preserve"> </w:t>
      </w:r>
      <w:r>
        <w:rPr>
          <w:i/>
          <w:iCs/>
        </w:rPr>
        <w:t xml:space="preserve">Annu. Rev. Ecol. Evol. Syst.</w:t>
      </w:r>
      <w:r>
        <w:t xml:space="preserve"> </w:t>
      </w:r>
      <w:r>
        <w:rPr>
          <w:b/>
          <w:bCs/>
        </w:rPr>
        <w:t xml:space="preserve">46</w:t>
      </w:r>
      <w:r>
        <w:t xml:space="preserve">, 523–549 (2015). https://doi.org/10.1146/annurev-ecolsys-112414-054400</w:t>
      </w:r>
    </w:p>
    <w:p>
      <w:pPr>
        <w:pStyle w:val="Compact"/>
        <w:numPr>
          <w:ilvl w:val="0"/>
          <w:numId w:val="1001"/>
        </w:numPr>
      </w:pPr>
      <w:r>
        <w:t xml:space="preserve">Diniz-Filho, J. A. F. et al. Macroecological links between the Linnean, Wallacean, and Darwinian shortfalls.</w:t>
      </w:r>
      <w:r>
        <w:t xml:space="preserve"> </w:t>
      </w:r>
      <w:r>
        <w:rPr>
          <w:i/>
          <w:iCs/>
        </w:rPr>
        <w:t xml:space="preserve">Front. Biogeogr.</w:t>
      </w:r>
      <w:r>
        <w:t xml:space="preserve"> </w:t>
      </w:r>
      <w:r>
        <w:rPr>
          <w:b/>
          <w:bCs/>
        </w:rPr>
        <w:t xml:space="preserve">15</w:t>
      </w:r>
      <w:r>
        <w:t xml:space="preserve">, e59566 (2023). https://doi.org/10.21425/F5FBG59566</w:t>
      </w:r>
    </w:p>
    <w:p>
      <w:pPr>
        <w:pStyle w:val="Compact"/>
        <w:numPr>
          <w:ilvl w:val="0"/>
          <w:numId w:val="1001"/>
        </w:numPr>
      </w:pPr>
      <w:r>
        <w:t xml:space="preserve">Moura, M. R. &amp; Jetz, W. Shortfalls and opportunities in terrestrial vertebrate species discovery.</w:t>
      </w:r>
      <w:r>
        <w:t xml:space="preserve"> </w:t>
      </w:r>
      <w:r>
        <w:rPr>
          <w:i/>
          <w:iCs/>
        </w:rPr>
        <w:t xml:space="preserve">Nat. Ecol. Evol.</w:t>
      </w:r>
      <w:r>
        <w:t xml:space="preserve"> </w:t>
      </w:r>
      <w:r>
        <w:rPr>
          <w:b/>
          <w:bCs/>
        </w:rPr>
        <w:t xml:space="preserve">5</w:t>
      </w:r>
      <w:r>
        <w:t xml:space="preserve">, 631–639 (2021). https://doi.org/10.1038/s41559-021-01411-5</w:t>
      </w:r>
    </w:p>
    <w:p>
      <w:pPr>
        <w:pStyle w:val="Compact"/>
        <w:numPr>
          <w:ilvl w:val="0"/>
          <w:numId w:val="1001"/>
        </w:numPr>
      </w:pPr>
      <w:r>
        <w:t xml:space="preserve">Oliver, R. Y., Meyer, C., Ranipeta, A., Winner, K. &amp; Jetz, W. Global and national trends, gaps, and opportunities in documenting and monitoring species distributions.</w:t>
      </w:r>
      <w:r>
        <w:t xml:space="preserve"> </w:t>
      </w:r>
      <w:r>
        <w:rPr>
          <w:i/>
          <w:iCs/>
        </w:rPr>
        <w:t xml:space="preserve">PLoS Biol.</w:t>
      </w:r>
      <w:r>
        <w:t xml:space="preserve"> </w:t>
      </w:r>
      <w:r>
        <w:rPr>
          <w:b/>
          <w:bCs/>
        </w:rPr>
        <w:t xml:space="preserve">19</w:t>
      </w:r>
      <w:r>
        <w:t xml:space="preserve">, e3001336 (2021). https://doi.org/10.1371/journal.pbio.3001336</w:t>
      </w:r>
    </w:p>
    <w:p>
      <w:pPr>
        <w:pStyle w:val="Compact"/>
        <w:numPr>
          <w:ilvl w:val="0"/>
          <w:numId w:val="1001"/>
        </w:numPr>
      </w:pPr>
      <w:r>
        <w:t xml:space="preserve">Parmesan, C. &amp; Yohe, G. A globally coherent fingerprint of climate change impacts across natural systems.</w:t>
      </w:r>
      <w:r>
        <w:t xml:space="preserve"> </w:t>
      </w:r>
      <w:r>
        <w:rPr>
          <w:i/>
          <w:iCs/>
        </w:rPr>
        <w:t xml:space="preserve">Nature</w:t>
      </w:r>
      <w:r>
        <w:t xml:space="preserve"> </w:t>
      </w:r>
      <w:r>
        <w:rPr>
          <w:b/>
          <w:bCs/>
        </w:rPr>
        <w:t xml:space="preserve">421</w:t>
      </w:r>
      <w:r>
        <w:t xml:space="preserve">, 37–42 (2003). https://doi.org/10.1038/nature01286</w:t>
      </w:r>
    </w:p>
    <w:p>
      <w:pPr>
        <w:pStyle w:val="Compact"/>
        <w:numPr>
          <w:ilvl w:val="0"/>
          <w:numId w:val="1001"/>
        </w:numPr>
      </w:pPr>
      <w:r>
        <w:t xml:space="preserve">Chen, I.-C., Hill, J. K., Ohlemüller, R., Roy, D. B. &amp; Thomas, C. D. Rapid range shifts of species associated with high levels of climate warming.</w:t>
      </w:r>
      <w:r>
        <w:t xml:space="preserve"> </w:t>
      </w:r>
      <w:r>
        <w:rPr>
          <w:i/>
          <w:iCs/>
        </w:rPr>
        <w:t xml:space="preserve">Science</w:t>
      </w:r>
      <w:r>
        <w:t xml:space="preserve"> </w:t>
      </w:r>
      <w:r>
        <w:rPr>
          <w:b/>
          <w:bCs/>
        </w:rPr>
        <w:t xml:space="preserve">333</w:t>
      </w:r>
      <w:r>
        <w:t xml:space="preserve">, 1024–1026 (2011). https://doi.org/10.1126/science.1206432</w:t>
      </w:r>
    </w:p>
    <w:p>
      <w:pPr>
        <w:pStyle w:val="Compact"/>
        <w:numPr>
          <w:ilvl w:val="0"/>
          <w:numId w:val="1001"/>
        </w:numPr>
      </w:pPr>
      <w:r>
        <w:t xml:space="preserve">Lenoir, J. &amp; Svenning, J.-C. Climate-related range shifts – a global multidimensional synthesis and new research directions.</w:t>
      </w:r>
      <w:r>
        <w:t xml:space="preserve"> </w:t>
      </w:r>
      <w:r>
        <w:rPr>
          <w:i/>
          <w:iCs/>
        </w:rPr>
        <w:t xml:space="preserve">Ecography</w:t>
      </w:r>
      <w:r>
        <w:t xml:space="preserve"> </w:t>
      </w:r>
      <w:r>
        <w:rPr>
          <w:b/>
          <w:bCs/>
        </w:rPr>
        <w:t xml:space="preserve">38</w:t>
      </w:r>
      <w:r>
        <w:t xml:space="preserve">, 15–28 (2015). https://doi.org/10.1111/ecog.00967</w:t>
      </w:r>
    </w:p>
    <w:p>
      <w:pPr>
        <w:pStyle w:val="Compact"/>
        <w:numPr>
          <w:ilvl w:val="0"/>
          <w:numId w:val="1001"/>
        </w:numPr>
      </w:pPr>
      <w:r>
        <w:t xml:space="preserve">Pecl, G. T. et al. Biodiversity redistribution under climate change: impacts on ecosystems and human well-being.</w:t>
      </w:r>
      <w:r>
        <w:t xml:space="preserve"> </w:t>
      </w:r>
      <w:r>
        <w:rPr>
          <w:i/>
          <w:iCs/>
        </w:rPr>
        <w:t xml:space="preserve">Science</w:t>
      </w:r>
      <w:r>
        <w:t xml:space="preserve"> </w:t>
      </w:r>
      <w:r>
        <w:rPr>
          <w:b/>
          <w:bCs/>
        </w:rPr>
        <w:t xml:space="preserve">355</w:t>
      </w:r>
      <w:r>
        <w:t xml:space="preserve">, eaai9214 (2017). https://doi.org/10.1126/science.aai9214</w:t>
      </w:r>
    </w:p>
    <w:p>
      <w:pPr>
        <w:pStyle w:val="Compact"/>
        <w:numPr>
          <w:ilvl w:val="0"/>
          <w:numId w:val="1001"/>
        </w:numPr>
      </w:pPr>
      <w:r>
        <w:t xml:space="preserve">Chen, S. et al. Chinese provincial-level new records for 96 resident bird species reveal poleward range shifts.</w:t>
      </w:r>
      <w:r>
        <w:t xml:space="preserve"> </w:t>
      </w:r>
      <w:r>
        <w:rPr>
          <w:i/>
          <w:iCs/>
        </w:rPr>
        <w:t xml:space="preserve">Avian Res.</w:t>
      </w:r>
      <w:r>
        <w:t xml:space="preserve"> </w:t>
      </w:r>
      <w:r>
        <w:rPr>
          <w:b/>
          <w:bCs/>
        </w:rPr>
        <w:t xml:space="preserve">16</w:t>
      </w:r>
      <w:r>
        <w:t xml:space="preserve">, 100310 (2025). https://doi.org/10.1016/j.avrs.2025.100310</w:t>
      </w:r>
    </w:p>
    <w:p>
      <w:pPr>
        <w:pStyle w:val="Compact"/>
        <w:numPr>
          <w:ilvl w:val="0"/>
          <w:numId w:val="1001"/>
        </w:numPr>
      </w:pPr>
      <w:r>
        <w:t xml:space="preserve">Ding, C., Ding, J., Qiao, H., Jiang, Z. &amp; Wang, Z. Taxonomic and spatiotemporal patterns and ecological correlates of new mammal distribution records in China.</w:t>
      </w:r>
      <w:r>
        <w:t xml:space="preserve"> </w:t>
      </w:r>
      <w:r>
        <w:rPr>
          <w:i/>
          <w:iCs/>
        </w:rPr>
        <w:t xml:space="preserve">Glob. Ecol. Biogeogr.</w:t>
      </w:r>
      <w:r>
        <w:t xml:space="preserve"> </w:t>
      </w:r>
      <w:r>
        <w:rPr>
          <w:b/>
          <w:bCs/>
        </w:rPr>
        <w:t xml:space="preserve">34</w:t>
      </w:r>
      <w:r>
        <w:t xml:space="preserve">, e70165 (2025). https://doi.org/10.1111/geb.70165</w:t>
      </w:r>
    </w:p>
    <w:p>
      <w:pPr>
        <w:pStyle w:val="Compact"/>
        <w:numPr>
          <w:ilvl w:val="0"/>
          <w:numId w:val="1001"/>
        </w:numPr>
      </w:pPr>
      <w:r>
        <w:t xml:space="preserve">Sullivan, B. L. et al. eBird: a citizen-based bird observation network in the biological sciences.</w:t>
      </w:r>
      <w:r>
        <w:t xml:space="preserve"> </w:t>
      </w:r>
      <w:r>
        <w:rPr>
          <w:i/>
          <w:iCs/>
        </w:rPr>
        <w:t xml:space="preserve">Biol. Conserv.</w:t>
      </w:r>
      <w:r>
        <w:t xml:space="preserve"> </w:t>
      </w:r>
      <w:r>
        <w:rPr>
          <w:b/>
          <w:bCs/>
        </w:rPr>
        <w:t xml:space="preserve">142</w:t>
      </w:r>
      <w:r>
        <w:t xml:space="preserve">, 2282–2292 (2009). https://doi.org/10.1016/j.biocon.2009.05.006</w:t>
      </w:r>
    </w:p>
    <w:p>
      <w:pPr>
        <w:pStyle w:val="Compact"/>
        <w:numPr>
          <w:ilvl w:val="0"/>
          <w:numId w:val="1001"/>
        </w:numPr>
      </w:pPr>
      <w:r>
        <w:t xml:space="preserve">Chandler, M. et al. Contribution of citizen science towards international biodiversity monitoring.</w:t>
      </w:r>
      <w:r>
        <w:t xml:space="preserve"> </w:t>
      </w:r>
      <w:r>
        <w:rPr>
          <w:i/>
          <w:iCs/>
        </w:rPr>
        <w:t xml:space="preserve">Biol. Conserv.</w:t>
      </w:r>
      <w:r>
        <w:t xml:space="preserve"> </w:t>
      </w:r>
      <w:r>
        <w:rPr>
          <w:b/>
          <w:bCs/>
        </w:rPr>
        <w:t xml:space="preserve">213</w:t>
      </w:r>
      <w:r>
        <w:t xml:space="preserve">, 280–294 (2017). https://doi.org/10.1016/j.biocon.2016.09.004</w:t>
      </w:r>
    </w:p>
    <w:p>
      <w:pPr>
        <w:pStyle w:val="Compact"/>
        <w:numPr>
          <w:ilvl w:val="0"/>
          <w:numId w:val="1001"/>
        </w:numPr>
      </w:pPr>
      <w:r>
        <w:t xml:space="preserve">Isaac, N. J. B., van Strien, A. J., August, T. A., de Zeeuw, M. P. &amp; Roy, D. B. Statistics for citizen science: extracting signals of change from noisy ecological data.</w:t>
      </w:r>
      <w:r>
        <w:t xml:space="preserve"> </w:t>
      </w:r>
      <w:r>
        <w:rPr>
          <w:i/>
          <w:iCs/>
        </w:rPr>
        <w:t xml:space="preserve">Methods Ecol. Evol.</w:t>
      </w:r>
      <w:r>
        <w:t xml:space="preserve"> </w:t>
      </w:r>
      <w:r>
        <w:rPr>
          <w:b/>
          <w:bCs/>
        </w:rPr>
        <w:t xml:space="preserve">5</w:t>
      </w:r>
      <w:r>
        <w:t xml:space="preserve">, 1052–1060 (2014). https://doi.org/10.1111/2041-210X.12254</w:t>
      </w:r>
    </w:p>
    <w:p>
      <w:pPr>
        <w:pStyle w:val="Compact"/>
        <w:numPr>
          <w:ilvl w:val="0"/>
          <w:numId w:val="1001"/>
        </w:numPr>
      </w:pPr>
      <w:r>
        <w:t xml:space="preserve">MacKenzie, D. I. et al. Estimating site occupancy rates when detection probabilities are less than one.</w:t>
      </w:r>
      <w:r>
        <w:t xml:space="preserve"> </w:t>
      </w:r>
      <w:r>
        <w:rPr>
          <w:i/>
          <w:iCs/>
        </w:rPr>
        <w:t xml:space="preserve">Ecology</w:t>
      </w:r>
      <w:r>
        <w:t xml:space="preserve"> </w:t>
      </w:r>
      <w:r>
        <w:rPr>
          <w:b/>
          <w:bCs/>
        </w:rPr>
        <w:t xml:space="preserve">83</w:t>
      </w:r>
      <w:r>
        <w:t xml:space="preserve">, 2248–2255 (2002). https://doi.org/10.1890/0012-9658(2002)083[2248:ESORWD]2.0.CO;2</w:t>
      </w:r>
    </w:p>
    <w:p>
      <w:pPr>
        <w:pStyle w:val="Compact"/>
        <w:numPr>
          <w:ilvl w:val="0"/>
          <w:numId w:val="1001"/>
        </w:numPr>
      </w:pPr>
      <w:r>
        <w:t xml:space="preserve">Miller-ter Kuile, A. et al. If you’re rare, should I care? How imperfect detection changes relationships between biodiversity and global change drivers.</w:t>
      </w:r>
      <w:r>
        <w:t xml:space="preserve"> </w:t>
      </w:r>
      <w:r>
        <w:rPr>
          <w:i/>
          <w:iCs/>
        </w:rPr>
        <w:t xml:space="preserve">Glob. Change Biol.</w:t>
      </w:r>
      <w:r>
        <w:t xml:space="preserve"> </w:t>
      </w:r>
      <w:r>
        <w:rPr>
          <w:b/>
          <w:bCs/>
        </w:rPr>
        <w:t xml:space="preserve">31</w:t>
      </w:r>
      <w:r>
        <w:t xml:space="preserve">, e70362 (2025). https://doi.org/10.1111/gcb.70362</w:t>
      </w:r>
    </w:p>
    <w:p>
      <w:pPr>
        <w:pStyle w:val="Compact"/>
        <w:numPr>
          <w:ilvl w:val="0"/>
          <w:numId w:val="1001"/>
        </w:numPr>
      </w:pPr>
      <w:r>
        <w:t xml:space="preserve">Hughes, A. C. et al. Sampling biases shape our view of the natural world.</w:t>
      </w:r>
      <w:r>
        <w:t xml:space="preserve"> </w:t>
      </w:r>
      <w:r>
        <w:rPr>
          <w:i/>
          <w:iCs/>
        </w:rPr>
        <w:t xml:space="preserve">Ecography</w:t>
      </w:r>
      <w:r>
        <w:t xml:space="preserve"> </w:t>
      </w:r>
      <w:r>
        <w:rPr>
          <w:b/>
          <w:bCs/>
        </w:rPr>
        <w:t xml:space="preserve">44</w:t>
      </w:r>
      <w:r>
        <w:t xml:space="preserve">, 1259–1269 (2021). https://doi.org/10.1111/ecog.05926</w:t>
      </w:r>
    </w:p>
    <w:p>
      <w:pPr>
        <w:pStyle w:val="Compact"/>
        <w:numPr>
          <w:ilvl w:val="0"/>
          <w:numId w:val="1001"/>
        </w:numPr>
      </w:pPr>
      <w:r>
        <w:t xml:space="preserve">Lahoz-Monfort, J. J. &amp; Magrath, M. J. L. A comprehensive overview of technologies for species and habitat monitoring and conservation.</w:t>
      </w:r>
      <w:r>
        <w:t xml:space="preserve"> </w:t>
      </w:r>
      <w:r>
        <w:rPr>
          <w:i/>
          <w:iCs/>
        </w:rPr>
        <w:t xml:space="preserve">BioScience</w:t>
      </w:r>
      <w:r>
        <w:t xml:space="preserve"> </w:t>
      </w:r>
      <w:r>
        <w:rPr>
          <w:b/>
          <w:bCs/>
        </w:rPr>
        <w:t xml:space="preserve">71</w:t>
      </w:r>
      <w:r>
        <w:t xml:space="preserve">, 1038–1062 (2021). https://doi.org/10.1093/biosci/biab073</w:t>
      </w:r>
    </w:p>
    <w:p>
      <w:pPr>
        <w:pStyle w:val="Compact"/>
        <w:numPr>
          <w:ilvl w:val="0"/>
          <w:numId w:val="1001"/>
        </w:numPr>
      </w:pPr>
      <w:r>
        <w:t xml:space="preserve">Burton, A. C. et al. Wildlife camera trapping: a review and recommendations for linking surveys to ecological processes.</w:t>
      </w:r>
      <w:r>
        <w:t xml:space="preserve"> </w:t>
      </w:r>
      <w:r>
        <w:rPr>
          <w:i/>
          <w:iCs/>
        </w:rPr>
        <w:t xml:space="preserve">J. Appl. Ecol.</w:t>
      </w:r>
      <w:r>
        <w:t xml:space="preserve"> </w:t>
      </w:r>
      <w:r>
        <w:rPr>
          <w:b/>
          <w:bCs/>
        </w:rPr>
        <w:t xml:space="preserve">52</w:t>
      </w:r>
      <w:r>
        <w:t xml:space="preserve">, 675–685 (2015). https://doi.org/10.1111/1365-2664.12432</w:t>
      </w:r>
    </w:p>
    <w:p>
      <w:pPr>
        <w:pStyle w:val="Compact"/>
        <w:numPr>
          <w:ilvl w:val="0"/>
          <w:numId w:val="1001"/>
        </w:numPr>
      </w:pPr>
      <w:r>
        <w:t xml:space="preserve">Tingley, M. W. &amp; Beissinger, S. R. Detecting range shifts from historical species occurrences: new perspectives on old data.</w:t>
      </w:r>
      <w:r>
        <w:t xml:space="preserve"> </w:t>
      </w:r>
      <w:r>
        <w:rPr>
          <w:i/>
          <w:iCs/>
        </w:rPr>
        <w:t xml:space="preserve">Trends Ecol. Evol.</w:t>
      </w:r>
      <w:r>
        <w:t xml:space="preserve"> </w:t>
      </w:r>
      <w:r>
        <w:rPr>
          <w:b/>
          <w:bCs/>
        </w:rPr>
        <w:t xml:space="preserve">24</w:t>
      </w:r>
      <w:r>
        <w:t xml:space="preserve">, 625–633 (2009). https://doi.org/10.1016/j.tree.2009.05.009</w:t>
      </w:r>
    </w:p>
    <w:p>
      <w:pPr>
        <w:pStyle w:val="Compact"/>
        <w:numPr>
          <w:ilvl w:val="0"/>
          <w:numId w:val="1001"/>
        </w:numPr>
      </w:pPr>
      <w:r>
        <w:t xml:space="preserve">Boakes, E. H. et al. Distorted views of biodiversity: spatial and temporal bias in species occurrence data.</w:t>
      </w:r>
      <w:r>
        <w:t xml:space="preserve"> </w:t>
      </w:r>
      <w:r>
        <w:rPr>
          <w:i/>
          <w:iCs/>
        </w:rPr>
        <w:t xml:space="preserve">PLoS Biol.</w:t>
      </w:r>
      <w:r>
        <w:t xml:space="preserve"> </w:t>
      </w:r>
      <w:r>
        <w:rPr>
          <w:b/>
          <w:bCs/>
        </w:rPr>
        <w:t xml:space="preserve">8</w:t>
      </w:r>
      <w:r>
        <w:t xml:space="preserve">, e1000385 (2010). https://doi.org/10.1371/journal.pbio.1000385</w:t>
      </w:r>
    </w:p>
    <w:p>
      <w:pPr>
        <w:pStyle w:val="Compact"/>
        <w:numPr>
          <w:ilvl w:val="0"/>
          <w:numId w:val="1001"/>
        </w:numPr>
      </w:pPr>
      <w:r>
        <w:t xml:space="preserve">Bowler, D. E. et al. Treating gaps and biases in biodiversity data as a missing data problem.</w:t>
      </w:r>
      <w:r>
        <w:t xml:space="preserve"> </w:t>
      </w:r>
      <w:r>
        <w:rPr>
          <w:i/>
          <w:iCs/>
        </w:rPr>
        <w:t xml:space="preserve">Biol. Rev.</w:t>
      </w:r>
      <w:r>
        <w:t xml:space="preserve"> </w:t>
      </w:r>
      <w:r>
        <w:rPr>
          <w:b/>
          <w:bCs/>
        </w:rPr>
        <w:t xml:space="preserve">100</w:t>
      </w:r>
      <w:r>
        <w:t xml:space="preserve">, 50–67 (2025). https://doi.org/10.1111/brv.13127</w:t>
      </w:r>
    </w:p>
    <w:p>
      <w:pPr>
        <w:pStyle w:val="Compact"/>
        <w:numPr>
          <w:ilvl w:val="0"/>
          <w:numId w:val="1001"/>
        </w:numPr>
      </w:pPr>
      <w:r>
        <w:t xml:space="preserve">Beck, J., Böller, M., Erhardt, A. &amp; Schwanghart, W. Spatial bias in the GBIF database and its effect on modeling species’ geographic distributions.</w:t>
      </w:r>
      <w:r>
        <w:t xml:space="preserve"> </w:t>
      </w:r>
      <w:r>
        <w:rPr>
          <w:i/>
          <w:iCs/>
        </w:rPr>
        <w:t xml:space="preserve">Ecol. Inform.</w:t>
      </w:r>
      <w:r>
        <w:t xml:space="preserve"> </w:t>
      </w:r>
      <w:r>
        <w:rPr>
          <w:b/>
          <w:bCs/>
        </w:rPr>
        <w:t xml:space="preserve">19</w:t>
      </w:r>
      <w:r>
        <w:t xml:space="preserve">, 10–15 (2014). https://doi.org/10.1016/j.ecoinf.2013.11.002</w:t>
      </w:r>
    </w:p>
    <w:p>
      <w:pPr>
        <w:pStyle w:val="Compact"/>
        <w:numPr>
          <w:ilvl w:val="0"/>
          <w:numId w:val="1001"/>
        </w:numPr>
      </w:pPr>
      <w:r>
        <w:t xml:space="preserve">Meyer, C., Kreft, H., Guralnick, R. &amp; Jetz, W. Global priorities for an effective information basis of biodiversity distributions.</w:t>
      </w:r>
      <w:r>
        <w:t xml:space="preserve"> </w:t>
      </w:r>
      <w:r>
        <w:rPr>
          <w:i/>
          <w:iCs/>
        </w:rPr>
        <w:t xml:space="preserve">Nat. Commun.</w:t>
      </w:r>
      <w:r>
        <w:t xml:space="preserve"> </w:t>
      </w:r>
      <w:r>
        <w:rPr>
          <w:b/>
          <w:bCs/>
        </w:rPr>
        <w:t xml:space="preserve">6</w:t>
      </w:r>
      <w:r>
        <w:t xml:space="preserve">, 8221 (2015). https://doi.org/10.1038/ncomms9221</w:t>
      </w:r>
    </w:p>
    <w:p>
      <w:pPr>
        <w:pStyle w:val="Compact"/>
        <w:numPr>
          <w:ilvl w:val="0"/>
          <w:numId w:val="1001"/>
        </w:numPr>
      </w:pPr>
      <w:r>
        <w:t xml:space="preserve">Schrodt, F. et al. Advancing causal inference in ecology: pathways for biodiversity change detection and attribution.</w:t>
      </w:r>
      <w:r>
        <w:t xml:space="preserve"> </w:t>
      </w:r>
      <w:r>
        <w:rPr>
          <w:i/>
          <w:iCs/>
        </w:rPr>
        <w:t xml:space="preserve">Methods Ecol. Evol.</w:t>
      </w:r>
      <w:r>
        <w:t xml:space="preserve"> </w:t>
      </w:r>
      <w:r>
        <w:rPr>
          <w:b/>
          <w:bCs/>
        </w:rPr>
        <w:t xml:space="preserve">16</w:t>
      </w:r>
      <w:r>
        <w:t xml:space="preserve">, 2276–2304 (2025). https://doi.org/10.1111/2041-210X.70131</w:t>
      </w:r>
    </w:p>
    <w:p>
      <w:pPr>
        <w:pStyle w:val="Compact"/>
        <w:numPr>
          <w:ilvl w:val="0"/>
          <w:numId w:val="1001"/>
        </w:numPr>
      </w:pPr>
      <w:r>
        <w:t xml:space="preserve">Ding, C. et al. A dataset of provincial-level new distribution records for birds in China from 2000 to 2025.</w:t>
      </w:r>
      <w:r>
        <w:t xml:space="preserve"> </w:t>
      </w:r>
      <w:r>
        <w:rPr>
          <w:i/>
          <w:iCs/>
        </w:rPr>
        <w:t xml:space="preserve">Sci. Data</w:t>
      </w:r>
      <w:r>
        <w:t xml:space="preserve"> </w:t>
      </w:r>
      <w:r>
        <w:t xml:space="preserve">(submitted).</w:t>
      </w:r>
    </w:p>
    <w:p>
      <w:pPr>
        <w:pStyle w:val="Compact"/>
        <w:numPr>
          <w:ilvl w:val="0"/>
          <w:numId w:val="1001"/>
        </w:numPr>
      </w:pPr>
      <w:r>
        <w:t xml:space="preserve">Devictor, V., Julliard, R., Couvet, D. &amp; Jiguet, F. Birds are tracking climate warming, but not fast enough.</w:t>
      </w:r>
      <w:r>
        <w:t xml:space="preserve"> </w:t>
      </w:r>
      <w:r>
        <w:rPr>
          <w:i/>
          <w:iCs/>
        </w:rPr>
        <w:t xml:space="preserve">Proc. R. Soc. B</w:t>
      </w:r>
      <w:r>
        <w:t xml:space="preserve"> </w:t>
      </w:r>
      <w:r>
        <w:rPr>
          <w:b/>
          <w:bCs/>
        </w:rPr>
        <w:t xml:space="preserve">275</w:t>
      </w:r>
      <w:r>
        <w:t xml:space="preserve">, 2743–2748 (2008). https://doi.org/10.1098/rspb.2008.0878</w:t>
      </w:r>
    </w:p>
    <w:p>
      <w:pPr>
        <w:pStyle w:val="Compact"/>
        <w:numPr>
          <w:ilvl w:val="0"/>
          <w:numId w:val="1001"/>
        </w:numPr>
      </w:pPr>
      <w:r>
        <w:t xml:space="preserve">Devictor, V. et al. Differences in the climatic debts of birds and butterflies at a continental scale.</w:t>
      </w:r>
      <w:r>
        <w:t xml:space="preserve"> </w:t>
      </w:r>
      <w:r>
        <w:rPr>
          <w:i/>
          <w:iCs/>
        </w:rPr>
        <w:t xml:space="preserve">Nat. Clim. Change</w:t>
      </w:r>
      <w:r>
        <w:t xml:space="preserve"> </w:t>
      </w:r>
      <w:r>
        <w:rPr>
          <w:b/>
          <w:bCs/>
        </w:rPr>
        <w:t xml:space="preserve">2</w:t>
      </w:r>
      <w:r>
        <w:t xml:space="preserve">, 121–124 (2012). https://doi.org/10.1038/nclimate1347</w:t>
      </w:r>
    </w:p>
    <w:p>
      <w:pPr>
        <w:pStyle w:val="Compact"/>
        <w:numPr>
          <w:ilvl w:val="0"/>
          <w:numId w:val="1001"/>
        </w:numPr>
      </w:pPr>
      <w:r>
        <w:t xml:space="preserve">La Sorte, F. A. &amp; Thompson, F. R. Poleward shifts in winter ranges of North American birds.</w:t>
      </w:r>
      <w:r>
        <w:t xml:space="preserve"> </w:t>
      </w:r>
      <w:r>
        <w:rPr>
          <w:i/>
          <w:iCs/>
        </w:rPr>
        <w:t xml:space="preserve">Ecology</w:t>
      </w:r>
      <w:r>
        <w:t xml:space="preserve"> </w:t>
      </w:r>
      <w:r>
        <w:rPr>
          <w:b/>
          <w:bCs/>
        </w:rPr>
        <w:t xml:space="preserve">88</w:t>
      </w:r>
      <w:r>
        <w:t xml:space="preserve">, 1803–1812 (2007). https://doi.org/10.1890/06-1072.1</w:t>
      </w:r>
    </w:p>
    <w:p>
      <w:pPr>
        <w:pStyle w:val="Compact"/>
        <w:numPr>
          <w:ilvl w:val="0"/>
          <w:numId w:val="1001"/>
        </w:numPr>
      </w:pPr>
      <w:r>
        <w:t xml:space="preserve">Loarie, S. R. et al. The velocity of climate change.</w:t>
      </w:r>
      <w:r>
        <w:t xml:space="preserve"> </w:t>
      </w:r>
      <w:r>
        <w:rPr>
          <w:i/>
          <w:iCs/>
        </w:rPr>
        <w:t xml:space="preserve">Nature</w:t>
      </w:r>
      <w:r>
        <w:t xml:space="preserve"> </w:t>
      </w:r>
      <w:r>
        <w:rPr>
          <w:b/>
          <w:bCs/>
        </w:rPr>
        <w:t xml:space="preserve">462</w:t>
      </w:r>
      <w:r>
        <w:t xml:space="preserve">, 1052–1055 (2009). https://doi.org/10.1038/nature08649</w:t>
      </w:r>
    </w:p>
    <w:p>
      <w:pPr>
        <w:pStyle w:val="Compact"/>
        <w:numPr>
          <w:ilvl w:val="0"/>
          <w:numId w:val="1001"/>
        </w:numPr>
      </w:pPr>
      <w:r>
        <w:t xml:space="preserve">Burrows, M. T. et al. The pace of shifting climate in marine and terrestrial ecosystems.</w:t>
      </w:r>
      <w:r>
        <w:t xml:space="preserve"> </w:t>
      </w:r>
      <w:r>
        <w:rPr>
          <w:i/>
          <w:iCs/>
        </w:rPr>
        <w:t xml:space="preserve">Science</w:t>
      </w:r>
      <w:r>
        <w:t xml:space="preserve"> </w:t>
      </w:r>
      <w:r>
        <w:rPr>
          <w:b/>
          <w:bCs/>
        </w:rPr>
        <w:t xml:space="preserve">334</w:t>
      </w:r>
      <w:r>
        <w:t xml:space="preserve">, 652–655 (2011). https://doi.org/10.1126/science.1210288</w:t>
      </w:r>
    </w:p>
    <w:p>
      <w:pPr>
        <w:pStyle w:val="Compact"/>
        <w:numPr>
          <w:ilvl w:val="0"/>
          <w:numId w:val="1001"/>
        </w:numPr>
      </w:pPr>
      <w:r>
        <w:t xml:space="preserve">Pinsky, M. L., Worm, B., Fogarty, M. J., Sarmiento, J. L. &amp; Levin, S. A. Marine taxa track local climate velocities.</w:t>
      </w:r>
      <w:r>
        <w:t xml:space="preserve"> </w:t>
      </w:r>
      <w:r>
        <w:rPr>
          <w:i/>
          <w:iCs/>
        </w:rPr>
        <w:t xml:space="preserve">Science</w:t>
      </w:r>
      <w:r>
        <w:t xml:space="preserve"> </w:t>
      </w:r>
      <w:r>
        <w:rPr>
          <w:b/>
          <w:bCs/>
        </w:rPr>
        <w:t xml:space="preserve">341</w:t>
      </w:r>
      <w:r>
        <w:t xml:space="preserve">, 1239–1242 (2013). https://doi.org/10.1126/science.1239352</w:t>
      </w:r>
    </w:p>
    <w:p>
      <w:pPr>
        <w:pStyle w:val="Compact"/>
        <w:numPr>
          <w:ilvl w:val="0"/>
          <w:numId w:val="1001"/>
        </w:numPr>
      </w:pPr>
      <w:r>
        <w:t xml:space="preserve">Poloczanska, E. S. et al. Global imprint of climate change on marine life.</w:t>
      </w:r>
      <w:r>
        <w:t xml:space="preserve"> </w:t>
      </w:r>
      <w:r>
        <w:rPr>
          <w:i/>
          <w:iCs/>
        </w:rPr>
        <w:t xml:space="preserve">Nat. Clim. Change</w:t>
      </w:r>
      <w:r>
        <w:t xml:space="preserve"> </w:t>
      </w:r>
      <w:r>
        <w:rPr>
          <w:b/>
          <w:bCs/>
        </w:rPr>
        <w:t xml:space="preserve">3</w:t>
      </w:r>
      <w:r>
        <w:t xml:space="preserve">, 919–925 (2013). https://doi.org/10.1038/nclimate1958</w:t>
      </w:r>
    </w:p>
    <w:p>
      <w:pPr>
        <w:pStyle w:val="Compact"/>
        <w:numPr>
          <w:ilvl w:val="0"/>
          <w:numId w:val="1001"/>
        </w:numPr>
      </w:pPr>
      <w:r>
        <w:t xml:space="preserve">Williams, J. W. &amp; Jackson, S. T. Novel climates, no-analog communities, and ecological surprises.</w:t>
      </w:r>
      <w:r>
        <w:t xml:space="preserve"> </w:t>
      </w:r>
      <w:r>
        <w:rPr>
          <w:i/>
          <w:iCs/>
        </w:rPr>
        <w:t xml:space="preserve">Front. Ecol. Environ.</w:t>
      </w:r>
      <w:r>
        <w:t xml:space="preserve"> </w:t>
      </w:r>
      <w:r>
        <w:rPr>
          <w:b/>
          <w:bCs/>
        </w:rPr>
        <w:t xml:space="preserve">5</w:t>
      </w:r>
      <w:r>
        <w:t xml:space="preserve">, 475–482 (2007). https://doi.org/10.1890/070037</w:t>
      </w:r>
    </w:p>
    <w:p>
      <w:pPr>
        <w:pStyle w:val="Compact"/>
        <w:numPr>
          <w:ilvl w:val="0"/>
          <w:numId w:val="1001"/>
        </w:numPr>
      </w:pPr>
      <w:r>
        <w:t xml:space="preserve">Mahony, C. R., Cannon, A. J., Wang, T. &amp; Aitken, S. N. A closer look at novel climates: new methods and insights at continental to landscape scales.</w:t>
      </w:r>
      <w:r>
        <w:t xml:space="preserve"> </w:t>
      </w:r>
      <w:r>
        <w:rPr>
          <w:i/>
          <w:iCs/>
        </w:rPr>
        <w:t xml:space="preserve">Glob. Change Biol.</w:t>
      </w:r>
      <w:r>
        <w:t xml:space="preserve"> </w:t>
      </w:r>
      <w:r>
        <w:rPr>
          <w:b/>
          <w:bCs/>
        </w:rPr>
        <w:t xml:space="preserve">23</w:t>
      </w:r>
      <w:r>
        <w:t xml:space="preserve">, 3934–3955 (2017). https://doi.org/10.1111/gcb.13645</w:t>
      </w:r>
    </w:p>
    <w:p>
      <w:pPr>
        <w:pStyle w:val="Compact"/>
        <w:numPr>
          <w:ilvl w:val="0"/>
          <w:numId w:val="1001"/>
        </w:numPr>
      </w:pPr>
      <w:r>
        <w:t xml:space="preserve">Lundberg, S. M. et al. From local explanations to global understanding with explainable AI for trees.</w:t>
      </w:r>
      <w:r>
        <w:t xml:space="preserve"> </w:t>
      </w:r>
      <w:r>
        <w:rPr>
          <w:i/>
          <w:iCs/>
        </w:rPr>
        <w:t xml:space="preserve">Nat. Mach. Intell.</w:t>
      </w:r>
      <w:r>
        <w:t xml:space="preserve"> </w:t>
      </w:r>
      <w:r>
        <w:rPr>
          <w:b/>
          <w:bCs/>
        </w:rPr>
        <w:t xml:space="preserve">2</w:t>
      </w:r>
      <w:r>
        <w:t xml:space="preserve">, 56–67 (2020). https://doi.org/10.1038/s42256-019-0138-9</w:t>
      </w:r>
    </w:p>
    <w:p>
      <w:pPr>
        <w:pStyle w:val="Compact"/>
        <w:numPr>
          <w:ilvl w:val="0"/>
          <w:numId w:val="1001"/>
        </w:numPr>
      </w:pPr>
      <w:r>
        <w:t xml:space="preserve">Chen, T. &amp; Guestrin, C. XGBoost: a scalable tree boosting system. In</w:t>
      </w:r>
      <w:r>
        <w:t xml:space="preserve"> </w:t>
      </w:r>
      <w:r>
        <w:rPr>
          <w:i/>
          <w:iCs/>
        </w:rPr>
        <w:t xml:space="preserve">Proc. 22nd ACM SIGKDD Int. Conf. Knowledge Discovery and Data Mining</w:t>
      </w:r>
      <w:r>
        <w:t xml:space="preserve"> </w:t>
      </w:r>
      <w:r>
        <w:t xml:space="preserve">785–794 (2016). https://doi.org/10.1145/2939672.2939785</w:t>
      </w:r>
    </w:p>
    <w:p>
      <w:pPr>
        <w:pStyle w:val="Compact"/>
        <w:numPr>
          <w:ilvl w:val="0"/>
          <w:numId w:val="1001"/>
        </w:numPr>
      </w:pPr>
      <w:r>
        <w:t xml:space="preserve">Xing, X. et al. Where are the provincial-level new records in China from the past 20 years?</w:t>
      </w:r>
      <w:r>
        <w:t xml:space="preserve"> </w:t>
      </w:r>
      <w:r>
        <w:rPr>
          <w:i/>
          <w:iCs/>
        </w:rPr>
        <w:t xml:space="preserve">Front. Ecol. Evol.</w:t>
      </w:r>
      <w:r>
        <w:t xml:space="preserve"> </w:t>
      </w:r>
      <w:r>
        <w:rPr>
          <w:b/>
          <w:bCs/>
        </w:rPr>
        <w:t xml:space="preserve">12</w:t>
      </w:r>
      <w:r>
        <w:t xml:space="preserve">, 1415268 (2024). https://doi.org/10.3389/fevo.2024.1415268</w:t>
      </w:r>
    </w:p>
    <w:p>
      <w:pPr>
        <w:pStyle w:val="Compact"/>
        <w:numPr>
          <w:ilvl w:val="0"/>
          <w:numId w:val="1001"/>
        </w:numPr>
      </w:pPr>
      <w:r>
        <w:t xml:space="preserve">Guillera-Arroita, G. Modelling of species distributions, range dynamics and communities under imperfect detection: advances, challenges and opportunities.</w:t>
      </w:r>
      <w:r>
        <w:t xml:space="preserve"> </w:t>
      </w:r>
      <w:r>
        <w:rPr>
          <w:i/>
          <w:iCs/>
        </w:rPr>
        <w:t xml:space="preserve">Ecography</w:t>
      </w:r>
      <w:r>
        <w:t xml:space="preserve"> </w:t>
      </w:r>
      <w:r>
        <w:rPr>
          <w:b/>
          <w:bCs/>
        </w:rPr>
        <w:t xml:space="preserve">40</w:t>
      </w:r>
      <w:r>
        <w:t xml:space="preserve">, 281–295 (2017). https://doi.org/10.1111/ecog.02445</w:t>
      </w:r>
    </w:p>
    <w:p>
      <w:pPr>
        <w:pStyle w:val="Compact"/>
        <w:numPr>
          <w:ilvl w:val="0"/>
          <w:numId w:val="1001"/>
        </w:numPr>
      </w:pPr>
      <w:r>
        <w:t xml:space="preserve">Rumpf, S. B. et al. Range dynamics of mountain plants decrease with elevation.</w:t>
      </w:r>
      <w:r>
        <w:t xml:space="preserve"> </w:t>
      </w:r>
      <w:r>
        <w:rPr>
          <w:i/>
          <w:iCs/>
        </w:rPr>
        <w:t xml:space="preserve">Proc. Natl Acad. Sci. USA</w:t>
      </w:r>
      <w:r>
        <w:t xml:space="preserve"> </w:t>
      </w:r>
      <w:r>
        <w:rPr>
          <w:b/>
          <w:bCs/>
        </w:rPr>
        <w:t xml:space="preserve">115</w:t>
      </w:r>
      <w:r>
        <w:t xml:space="preserve">, 1848–1853 (2018). https://doi.org/10.1073/pnas.1713936115</w:t>
      </w:r>
    </w:p>
    <w:p>
      <w:pPr>
        <w:pStyle w:val="Compact"/>
        <w:numPr>
          <w:ilvl w:val="0"/>
          <w:numId w:val="1001"/>
        </w:numPr>
      </w:pPr>
      <w:r>
        <w:t xml:space="preserve">Freeman, B. G., Scholer, M. N., Ruiz-Gutierrez, V. &amp; Fitzpatrick, J. W. Climate change causes upslope shifts and mountaintop extirpations in a tropical bird community.</w:t>
      </w:r>
      <w:r>
        <w:t xml:space="preserve"> </w:t>
      </w:r>
      <w:r>
        <w:rPr>
          <w:i/>
          <w:iCs/>
        </w:rPr>
        <w:t xml:space="preserve">Proc. Natl Acad. Sci. USA</w:t>
      </w:r>
      <w:r>
        <w:t xml:space="preserve"> </w:t>
      </w:r>
      <w:r>
        <w:rPr>
          <w:b/>
          <w:bCs/>
        </w:rPr>
        <w:t xml:space="preserve">115</w:t>
      </w:r>
      <w:r>
        <w:t xml:space="preserve">, 11982–11987 (2018). https://doi.org/10.1073/pnas.1804224115</w:t>
      </w:r>
    </w:p>
    <w:p>
      <w:pPr>
        <w:pStyle w:val="Compact"/>
        <w:numPr>
          <w:ilvl w:val="0"/>
          <w:numId w:val="1001"/>
        </w:numPr>
      </w:pPr>
      <w:r>
        <w:t xml:space="preserve">Mi, X. et al. The global significance of biodiversity science in China: an overview.</w:t>
      </w:r>
      <w:r>
        <w:t xml:space="preserve"> </w:t>
      </w:r>
      <w:r>
        <w:rPr>
          <w:i/>
          <w:iCs/>
        </w:rPr>
        <w:t xml:space="preserve">Natl Sci. Rev.</w:t>
      </w:r>
      <w:r>
        <w:t xml:space="preserve"> </w:t>
      </w:r>
      <w:r>
        <w:rPr>
          <w:b/>
          <w:bCs/>
        </w:rPr>
        <w:t xml:space="preserve">8</w:t>
      </w:r>
      <w:r>
        <w:t xml:space="preserve">, nwab032 (2021). https://doi.org/10.1093/nsr/nwab032</w:t>
      </w:r>
    </w:p>
    <w:p>
      <w:pPr>
        <w:pStyle w:val="Compact"/>
        <w:numPr>
          <w:ilvl w:val="0"/>
          <w:numId w:val="1001"/>
        </w:numPr>
      </w:pPr>
      <w:r>
        <w:t xml:space="preserve">Amano, T., Lamming, J. D. L. &amp; Sutherland, W. J. Spatial gaps in global biodiversity information and the role of citizen science.</w:t>
      </w:r>
      <w:r>
        <w:t xml:space="preserve"> </w:t>
      </w:r>
      <w:r>
        <w:rPr>
          <w:i/>
          <w:iCs/>
        </w:rPr>
        <w:t xml:space="preserve">BioScience</w:t>
      </w:r>
      <w:r>
        <w:t xml:space="preserve"> </w:t>
      </w:r>
      <w:r>
        <w:rPr>
          <w:b/>
          <w:bCs/>
        </w:rPr>
        <w:t xml:space="preserve">66</w:t>
      </w:r>
      <w:r>
        <w:t xml:space="preserve">, 393–400 (2016). https://doi.org/10.1093/biosci/biw022</w:t>
      </w:r>
    </w:p>
    <w:p>
      <w:pPr>
        <w:pStyle w:val="Compact"/>
        <w:numPr>
          <w:ilvl w:val="0"/>
          <w:numId w:val="1001"/>
        </w:numPr>
      </w:pPr>
      <w:r>
        <w:t xml:space="preserve">Callaghan, C. T., Poore, A. G. B., Major, R. E., Rowley, J. J. L. &amp; Cornwell, W. K. Optimizing future biodiversity sampling by citizen scientists.</w:t>
      </w:r>
      <w:r>
        <w:t xml:space="preserve"> </w:t>
      </w:r>
      <w:r>
        <w:rPr>
          <w:i/>
          <w:iCs/>
        </w:rPr>
        <w:t xml:space="preserve">Proc. R. Soc. B</w:t>
      </w:r>
      <w:r>
        <w:t xml:space="preserve"> </w:t>
      </w:r>
      <w:r>
        <w:rPr>
          <w:b/>
          <w:bCs/>
        </w:rPr>
        <w:t xml:space="preserve">286</w:t>
      </w:r>
      <w:r>
        <w:t xml:space="preserve">, 20191487 (2019). https://doi.org/10.1098/rspb.2019.1487</w:t>
      </w:r>
    </w:p>
    <w:p>
      <w:pPr>
        <w:pStyle w:val="Compact"/>
        <w:numPr>
          <w:ilvl w:val="0"/>
          <w:numId w:val="1001"/>
        </w:numPr>
      </w:pPr>
      <w:r>
        <w:t xml:space="preserve">Kelling, S. et al. Using semistructured surveys to improve citizen science data for monitoring biodiversity.</w:t>
      </w:r>
      <w:r>
        <w:t xml:space="preserve"> </w:t>
      </w:r>
      <w:r>
        <w:rPr>
          <w:i/>
          <w:iCs/>
        </w:rPr>
        <w:t xml:space="preserve">BioScience</w:t>
      </w:r>
      <w:r>
        <w:t xml:space="preserve"> </w:t>
      </w:r>
      <w:r>
        <w:rPr>
          <w:b/>
          <w:bCs/>
        </w:rPr>
        <w:t xml:space="preserve">69</w:t>
      </w:r>
      <w:r>
        <w:t xml:space="preserve">, 170–179 (2019). https://doi.org/10.1093/biosci/biz010</w:t>
      </w:r>
    </w:p>
    <w:p>
      <w:pPr>
        <w:pStyle w:val="Compact"/>
        <w:numPr>
          <w:ilvl w:val="0"/>
          <w:numId w:val="1001"/>
        </w:numPr>
      </w:pPr>
      <w:r>
        <w:t xml:space="preserve">Dickinson, J. L., Zuckerberg, B. &amp; Bonter, D. N. Citizen science as an ecological research tool: challenges and benefits.</w:t>
      </w:r>
      <w:r>
        <w:t xml:space="preserve"> </w:t>
      </w:r>
      <w:r>
        <w:rPr>
          <w:i/>
          <w:iCs/>
        </w:rPr>
        <w:t xml:space="preserve">Annu. Rev. Ecol. Evol. Syst.</w:t>
      </w:r>
      <w:r>
        <w:t xml:space="preserve"> </w:t>
      </w:r>
      <w:r>
        <w:rPr>
          <w:b/>
          <w:bCs/>
        </w:rPr>
        <w:t xml:space="preserve">41</w:t>
      </w:r>
      <w:r>
        <w:t xml:space="preserve">, 149–172 (2010). https://doi.org/10.1146/annurev-ecolsys-102209-144636</w:t>
      </w:r>
    </w:p>
    <w:p>
      <w:pPr>
        <w:pStyle w:val="Compact"/>
        <w:numPr>
          <w:ilvl w:val="0"/>
          <w:numId w:val="1001"/>
        </w:numPr>
      </w:pPr>
      <w:r>
        <w:t xml:space="preserve">Bowler, D. E. et al. Mapping human pressures on biodiversity across the planet uncovers anthropogenic threat complexes.</w:t>
      </w:r>
      <w:r>
        <w:t xml:space="preserve"> </w:t>
      </w:r>
      <w:r>
        <w:rPr>
          <w:i/>
          <w:iCs/>
        </w:rPr>
        <w:t xml:space="preserve">People Nat.</w:t>
      </w:r>
      <w:r>
        <w:t xml:space="preserve"> </w:t>
      </w:r>
      <w:r>
        <w:rPr>
          <w:b/>
          <w:bCs/>
        </w:rPr>
        <w:t xml:space="preserve">2</w:t>
      </w:r>
      <w:r>
        <w:t xml:space="preserve">, 380–394 (2020). https://doi.org/10.1002/pan3.10071</w:t>
      </w:r>
    </w:p>
    <w:p>
      <w:pPr>
        <w:pStyle w:val="Compact"/>
        <w:numPr>
          <w:ilvl w:val="0"/>
          <w:numId w:val="1001"/>
        </w:numPr>
      </w:pPr>
      <w:r>
        <w:t xml:space="preserve">Sunday, J. M., Bates, A. E. &amp; Dulvy, N. K. Thermal tolerance and the global redistribution of animals.</w:t>
      </w:r>
      <w:r>
        <w:t xml:space="preserve"> </w:t>
      </w:r>
      <w:r>
        <w:rPr>
          <w:i/>
          <w:iCs/>
        </w:rPr>
        <w:t xml:space="preserve">Nat. Clim. Change</w:t>
      </w:r>
      <w:r>
        <w:t xml:space="preserve"> </w:t>
      </w:r>
      <w:r>
        <w:rPr>
          <w:b/>
          <w:bCs/>
        </w:rPr>
        <w:t xml:space="preserve">2</w:t>
      </w:r>
      <w:r>
        <w:t xml:space="preserve">, 686–690 (2012). https://doi.org/10.1038/nclimate1539</w:t>
      </w:r>
    </w:p>
    <w:p>
      <w:pPr>
        <w:pStyle w:val="Compact"/>
        <w:numPr>
          <w:ilvl w:val="0"/>
          <w:numId w:val="1001"/>
        </w:numPr>
      </w:pPr>
      <w:r>
        <w:t xml:space="preserve">Guisan, A. &amp; Thuiller, W. Predicting species distribution: offering more than simple habitat models.</w:t>
      </w:r>
      <w:r>
        <w:t xml:space="preserve"> </w:t>
      </w:r>
      <w:r>
        <w:rPr>
          <w:i/>
          <w:iCs/>
        </w:rPr>
        <w:t xml:space="preserve">Ecol. Lett.</w:t>
      </w:r>
      <w:r>
        <w:t xml:space="preserve"> </w:t>
      </w:r>
      <w:r>
        <w:rPr>
          <w:b/>
          <w:bCs/>
        </w:rPr>
        <w:t xml:space="preserve">8</w:t>
      </w:r>
      <w:r>
        <w:t xml:space="preserve">, 993–1009 (2005). https://doi.org/10.1111/j.1461-0248.2005.00792.x</w:t>
      </w:r>
    </w:p>
    <w:p>
      <w:pPr>
        <w:pStyle w:val="Compact"/>
        <w:numPr>
          <w:ilvl w:val="0"/>
          <w:numId w:val="1001"/>
        </w:numPr>
      </w:pPr>
      <w:r>
        <w:t xml:space="preserve">Elith, J., Phillips, S. J., Hastie, T., Dudík, M., Chee, Y. E. &amp; Yates, C. J. A statistical explanation of MaxEnt for ecologists.</w:t>
      </w:r>
      <w:r>
        <w:t xml:space="preserve"> </w:t>
      </w:r>
      <w:r>
        <w:rPr>
          <w:i/>
          <w:iCs/>
        </w:rPr>
        <w:t xml:space="preserve">Divers. Distrib.</w:t>
      </w:r>
      <w:r>
        <w:t xml:space="preserve"> </w:t>
      </w:r>
      <w:r>
        <w:rPr>
          <w:b/>
          <w:bCs/>
        </w:rPr>
        <w:t xml:space="preserve">17</w:t>
      </w:r>
      <w:r>
        <w:t xml:space="preserve">, 43–57 (2011). https://doi.org/10.1111/j.1472-4642.2010.00725.x</w:t>
      </w:r>
    </w:p>
    <w:p>
      <w:pPr>
        <w:pStyle w:val="Compact"/>
        <w:numPr>
          <w:ilvl w:val="0"/>
          <w:numId w:val="1001"/>
        </w:numPr>
      </w:pPr>
      <w:r>
        <w:t xml:space="preserve">Guillera-Arroita, G. et al. Is my species distribution model fit for purpose? Matching data and models to applications.</w:t>
      </w:r>
      <w:r>
        <w:t xml:space="preserve"> </w:t>
      </w:r>
      <w:r>
        <w:rPr>
          <w:i/>
          <w:iCs/>
        </w:rPr>
        <w:t xml:space="preserve">Glob. Ecol. Biogeogr.</w:t>
      </w:r>
      <w:r>
        <w:t xml:space="preserve"> </w:t>
      </w:r>
      <w:r>
        <w:rPr>
          <w:b/>
          <w:bCs/>
        </w:rPr>
        <w:t xml:space="preserve">24</w:t>
      </w:r>
      <w:r>
        <w:t xml:space="preserve">, 276–292 (2015). https://doi.org/10.1111/geb.12268</w:t>
      </w:r>
    </w:p>
    <w:p>
      <w:pPr>
        <w:pStyle w:val="Compact"/>
        <w:numPr>
          <w:ilvl w:val="0"/>
          <w:numId w:val="1001"/>
        </w:numPr>
      </w:pPr>
      <w:r>
        <w:t xml:space="preserve">Phillips, S. J. et al. Sample selection bias and presence-only distribution models: implications for background and pseudo-absence data.</w:t>
      </w:r>
      <w:r>
        <w:t xml:space="preserve"> </w:t>
      </w:r>
      <w:r>
        <w:rPr>
          <w:i/>
          <w:iCs/>
        </w:rPr>
        <w:t xml:space="preserve">Ecol. Appl.</w:t>
      </w:r>
      <w:r>
        <w:t xml:space="preserve"> </w:t>
      </w:r>
      <w:r>
        <w:rPr>
          <w:b/>
          <w:bCs/>
        </w:rPr>
        <w:t xml:space="preserve">19</w:t>
      </w:r>
      <w:r>
        <w:t xml:space="preserve">, 181–197 (2009). https://doi.org/10.1890/07-2153.1</w:t>
      </w:r>
    </w:p>
    <w:p>
      <w:pPr>
        <w:pStyle w:val="Compact"/>
        <w:numPr>
          <w:ilvl w:val="0"/>
          <w:numId w:val="1001"/>
        </w:numPr>
      </w:pPr>
      <w:r>
        <w:t xml:space="preserve">Johnston, A. et al. Analytical guidelines to increase the value of community science data: an example using eBird data to estimate species distributions.</w:t>
      </w:r>
      <w:r>
        <w:t xml:space="preserve"> </w:t>
      </w:r>
      <w:r>
        <w:rPr>
          <w:i/>
          <w:iCs/>
        </w:rPr>
        <w:t xml:space="preserve">Divers. Distrib.</w:t>
      </w:r>
      <w:r>
        <w:t xml:space="preserve"> </w:t>
      </w:r>
      <w:r>
        <w:rPr>
          <w:b/>
          <w:bCs/>
        </w:rPr>
        <w:t xml:space="preserve">27</w:t>
      </w:r>
      <w:r>
        <w:t xml:space="preserve">, 1265–1277 (2021). https://doi.org/10.1111/ddi.13271</w:t>
      </w:r>
    </w:p>
    <w:p>
      <w:pPr>
        <w:pStyle w:val="Compact"/>
        <w:numPr>
          <w:ilvl w:val="0"/>
          <w:numId w:val="1001"/>
        </w:numPr>
      </w:pPr>
      <w:r>
        <w:t xml:space="preserve">Harris, I., Osborn, T. J., Jones, P. &amp; Lister, D. Version 4 of the CRU TS monthly high-resolution gridded multivariate climate dataset.</w:t>
      </w:r>
      <w:r>
        <w:t xml:space="preserve"> </w:t>
      </w:r>
      <w:r>
        <w:rPr>
          <w:i/>
          <w:iCs/>
        </w:rPr>
        <w:t xml:space="preserve">Sci. Data</w:t>
      </w:r>
      <w:r>
        <w:t xml:space="preserve"> </w:t>
      </w:r>
      <w:r>
        <w:rPr>
          <w:b/>
          <w:bCs/>
        </w:rPr>
        <w:t xml:space="preserve">7</w:t>
      </w:r>
      <w:r>
        <w:t xml:space="preserve">, 109 (2020). https://doi.org/10.1038/s41597-020-0453-3</w:t>
      </w:r>
    </w:p>
    <w:p>
      <w:pPr>
        <w:pStyle w:val="Compact"/>
        <w:numPr>
          <w:ilvl w:val="0"/>
          <w:numId w:val="1001"/>
        </w:numPr>
      </w:pPr>
      <w:r>
        <w:t xml:space="preserve">Fick, S. E. &amp; Hijmans, R. J. WorldClim 2: new 1-km spatial resolution climate surfaces for global land areas.</w:t>
      </w:r>
      <w:r>
        <w:t xml:space="preserve"> </w:t>
      </w:r>
      <w:r>
        <w:rPr>
          <w:i/>
          <w:iCs/>
        </w:rPr>
        <w:t xml:space="preserve">Int. J. Climatol.</w:t>
      </w:r>
      <w:r>
        <w:t xml:space="preserve"> </w:t>
      </w:r>
      <w:r>
        <w:rPr>
          <w:b/>
          <w:bCs/>
        </w:rPr>
        <w:t xml:space="preserve">37</w:t>
      </w:r>
      <w:r>
        <w:t xml:space="preserve">, 4302–4315 (2017). https://doi.org/10.1002/joc.5086</w:t>
      </w:r>
    </w:p>
    <w:p>
      <w:pPr>
        <w:pStyle w:val="Compact"/>
        <w:numPr>
          <w:ilvl w:val="0"/>
          <w:numId w:val="1001"/>
        </w:numPr>
      </w:pPr>
      <w:r>
        <w:t xml:space="preserve">Brooks, M. E. et al. glmmTMB balances speed and flexibility among packages for zero-inflated generalized linear mixed modeling.</w:t>
      </w:r>
      <w:r>
        <w:t xml:space="preserve"> </w:t>
      </w:r>
      <w:r>
        <w:rPr>
          <w:i/>
          <w:iCs/>
        </w:rPr>
        <w:t xml:space="preserve">R J.</w:t>
      </w:r>
      <w:r>
        <w:t xml:space="preserve"> </w:t>
      </w:r>
      <w:r>
        <w:rPr>
          <w:b/>
          <w:bCs/>
        </w:rPr>
        <w:t xml:space="preserve">9</w:t>
      </w:r>
      <w:r>
        <w:t xml:space="preserve">, 378–400 (2017). https://doi.org/10.32614/RJ-2017-066</w:t>
      </w:r>
    </w:p>
    <w:p>
      <w:pPr>
        <w:pStyle w:val="Compact"/>
        <w:numPr>
          <w:ilvl w:val="0"/>
          <w:numId w:val="1001"/>
        </w:numPr>
      </w:pPr>
      <w:r>
        <w:t xml:space="preserve">Nakagawa, S. &amp; Schielzeth, H. A general and simple method for obtaining</w:t>
      </w:r>
      <w:r>
        <w:t xml:space="preserve"> </w:t>
      </w:r>
      <w:r>
        <w:rPr>
          <w:i/>
          <w:iCs/>
        </w:rPr>
        <w:t xml:space="preserve">R</w:t>
      </w:r>
      <w:r>
        <w:t xml:space="preserve">² from generalized linear mixed-effects models.</w:t>
      </w:r>
      <w:r>
        <w:t xml:space="preserve"> </w:t>
      </w:r>
      <w:r>
        <w:rPr>
          <w:i/>
          <w:iCs/>
        </w:rPr>
        <w:t xml:space="preserve">Methods Ecol. Evol.</w:t>
      </w:r>
      <w:r>
        <w:t xml:space="preserve"> </w:t>
      </w:r>
      <w:r>
        <w:rPr>
          <w:b/>
          <w:bCs/>
        </w:rPr>
        <w:t xml:space="preserve">4</w:t>
      </w:r>
      <w:r>
        <w:t xml:space="preserve">, 133–142 (2013). https://doi.org/10.1111/j.2041-210x.2012.00261.x</w:t>
      </w:r>
    </w:p>
    <w:p>
      <w:pPr>
        <w:pStyle w:val="Compact"/>
        <w:numPr>
          <w:ilvl w:val="0"/>
          <w:numId w:val="1001"/>
        </w:numPr>
      </w:pPr>
      <w:r>
        <w:t xml:space="preserve">Pebesma, E. Simple Features for R: standardized support for spatial vector data.</w:t>
      </w:r>
      <w:r>
        <w:t xml:space="preserve"> </w:t>
      </w:r>
      <w:r>
        <w:rPr>
          <w:i/>
          <w:iCs/>
        </w:rPr>
        <w:t xml:space="preserve">R J.</w:t>
      </w:r>
      <w:r>
        <w:t xml:space="preserve"> </w:t>
      </w:r>
      <w:r>
        <w:rPr>
          <w:b/>
          <w:bCs/>
        </w:rPr>
        <w:t xml:space="preserve">10</w:t>
      </w:r>
      <w:r>
        <w:t xml:space="preserve">, 439–446 (2018). https://doi.org/10.32614/RJ-2018-009</w:t>
      </w:r>
    </w:p>
    <w:p>
      <w:pPr>
        <w:pStyle w:val="Compact"/>
        <w:numPr>
          <w:ilvl w:val="0"/>
          <w:numId w:val="1001"/>
        </w:numPr>
      </w:pPr>
      <w:r>
        <w:t xml:space="preserve">Lenoir, J. et al. Species better track climate warming in the oceans than on land.</w:t>
      </w:r>
      <w:r>
        <w:t xml:space="preserve"> </w:t>
      </w:r>
      <w:r>
        <w:rPr>
          <w:i/>
          <w:iCs/>
        </w:rPr>
        <w:t xml:space="preserve">Nat. Ecol. Evol.</w:t>
      </w:r>
      <w:r>
        <w:t xml:space="preserve"> </w:t>
      </w:r>
      <w:r>
        <w:rPr>
          <w:b/>
          <w:bCs/>
        </w:rPr>
        <w:t xml:space="preserve">4</w:t>
      </w:r>
      <w:r>
        <w:t xml:space="preserve">, 1044–1059 (2020). https://doi.org/10.1038/s41559-020-1198-2</w:t>
      </w:r>
    </w:p>
    <w:p>
      <w:pPr>
        <w:pStyle w:val="Compact"/>
        <w:numPr>
          <w:ilvl w:val="0"/>
          <w:numId w:val="1001"/>
        </w:numPr>
      </w:pPr>
      <w:r>
        <w:t xml:space="preserve">Scheffers, B. R. et al. The broad footprint of climate change from genes to biomes to people.</w:t>
      </w:r>
      <w:r>
        <w:t xml:space="preserve"> </w:t>
      </w:r>
      <w:r>
        <w:rPr>
          <w:i/>
          <w:iCs/>
        </w:rPr>
        <w:t xml:space="preserve">Science</w:t>
      </w:r>
      <w:r>
        <w:t xml:space="preserve"> </w:t>
      </w:r>
      <w:r>
        <w:rPr>
          <w:b/>
          <w:bCs/>
        </w:rPr>
        <w:t xml:space="preserve">354</w:t>
      </w:r>
      <w:r>
        <w:t xml:space="preserve">, aaf7671 (2016). https://doi.org/10.1126/science.aaf7671</w:t>
      </w:r>
    </w:p>
    <w:p>
      <w:pPr>
        <w:pStyle w:val="Compact"/>
        <w:numPr>
          <w:ilvl w:val="0"/>
          <w:numId w:val="1001"/>
        </w:numPr>
      </w:pPr>
      <w:r>
        <w:t xml:space="preserve">Román-Palacios, C. &amp; Wiens, J. J. Recent responses to climate change reveal the drivers of species extinction and survival.</w:t>
      </w:r>
      <w:r>
        <w:t xml:space="preserve"> </w:t>
      </w:r>
      <w:r>
        <w:rPr>
          <w:i/>
          <w:iCs/>
        </w:rPr>
        <w:t xml:space="preserve">Proc. Natl Acad. Sci. USA</w:t>
      </w:r>
      <w:r>
        <w:t xml:space="preserve"> </w:t>
      </w:r>
      <w:r>
        <w:rPr>
          <w:b/>
          <w:bCs/>
        </w:rPr>
        <w:t xml:space="preserve">117</w:t>
      </w:r>
      <w:r>
        <w:t xml:space="preserve">, 4211–4217 (2020). https://doi.org/10.1073/pnas.1913007117</w:t>
      </w:r>
    </w:p>
    <w:p>
      <w:pPr>
        <w:pStyle w:val="Compact"/>
        <w:numPr>
          <w:ilvl w:val="0"/>
          <w:numId w:val="1001"/>
        </w:numPr>
      </w:pPr>
      <w:r>
        <w:t xml:space="preserve">Lehikoinen, A. et al. Declining population trends of European mountain birds.</w:t>
      </w:r>
      <w:r>
        <w:t xml:space="preserve"> </w:t>
      </w:r>
      <w:r>
        <w:rPr>
          <w:i/>
          <w:iCs/>
        </w:rPr>
        <w:t xml:space="preserve">Glob. Change Biol.</w:t>
      </w:r>
      <w:r>
        <w:t xml:space="preserve"> </w:t>
      </w:r>
      <w:r>
        <w:rPr>
          <w:b/>
          <w:bCs/>
        </w:rPr>
        <w:t xml:space="preserve">25</w:t>
      </w:r>
      <w:r>
        <w:t xml:space="preserve">, 577–588 (2019). https://doi.org/10.1111/gcb.14522</w:t>
      </w:r>
    </w:p>
    <w:p>
      <w:pPr>
        <w:pStyle w:val="Compact"/>
        <w:numPr>
          <w:ilvl w:val="0"/>
          <w:numId w:val="1001"/>
        </w:numPr>
      </w:pPr>
      <w:r>
        <w:t xml:space="preserve">Rosenberg, K. V. et al. Decline of the North American avifauna.</w:t>
      </w:r>
      <w:r>
        <w:t xml:space="preserve"> </w:t>
      </w:r>
      <w:r>
        <w:rPr>
          <w:i/>
          <w:iCs/>
        </w:rPr>
        <w:t xml:space="preserve">Science</w:t>
      </w:r>
      <w:r>
        <w:t xml:space="preserve"> </w:t>
      </w:r>
      <w:r>
        <w:rPr>
          <w:b/>
          <w:bCs/>
        </w:rPr>
        <w:t xml:space="preserve">366</w:t>
      </w:r>
      <w:r>
        <w:t xml:space="preserve">, 120–124 (2019). https://doi.org/10.1126/science.aaw1313</w:t>
      </w:r>
    </w:p>
    <w:p>
      <w:pPr>
        <w:pStyle w:val="Compact"/>
        <w:numPr>
          <w:ilvl w:val="0"/>
          <w:numId w:val="1001"/>
        </w:numPr>
      </w:pPr>
      <w:r>
        <w:t xml:space="preserve">van Strien, A. J., van Swaay, C. A. M. &amp; Termaat, T. Opportunistic citizen science data of animal species produce reliable estimates of distribution trends if analysed with occupancy models.</w:t>
      </w:r>
      <w:r>
        <w:t xml:space="preserve"> </w:t>
      </w:r>
      <w:r>
        <w:rPr>
          <w:i/>
          <w:iCs/>
        </w:rPr>
        <w:t xml:space="preserve">J. Appl. Ecol.</w:t>
      </w:r>
      <w:r>
        <w:t xml:space="preserve"> </w:t>
      </w:r>
      <w:r>
        <w:rPr>
          <w:b/>
          <w:bCs/>
        </w:rPr>
        <w:t xml:space="preserve">50</w:t>
      </w:r>
      <w:r>
        <w:t xml:space="preserve">, 1450–1458 (2013). https://doi.org/10.1111/1365-2664.12158</w:t>
      </w:r>
    </w:p>
    <w:p>
      <w:pPr>
        <w:pStyle w:val="Compact"/>
        <w:numPr>
          <w:ilvl w:val="0"/>
          <w:numId w:val="1001"/>
        </w:numPr>
      </w:pPr>
      <w:r>
        <w:t xml:space="preserve">Kéry, M., Royle, J. A., Schmid, H. et al. Importance of sampling design and analysis in animal population studies.</w:t>
      </w:r>
      <w:r>
        <w:t xml:space="preserve"> </w:t>
      </w:r>
      <w:r>
        <w:rPr>
          <w:i/>
          <w:iCs/>
        </w:rPr>
        <w:t xml:space="preserve">J. Appl. Ecol.</w:t>
      </w:r>
      <w:r>
        <w:t xml:space="preserve"> </w:t>
      </w:r>
      <w:r>
        <w:rPr>
          <w:b/>
          <w:bCs/>
        </w:rPr>
        <w:t xml:space="preserve">45</w:t>
      </w:r>
      <w:r>
        <w:t xml:space="preserve">, 981–986 (2008). https://doi.org/10.1111/j.1365-2664.2007.01421.x</w:t>
      </w:r>
    </w:p>
    <w:p>
      <w:pPr>
        <w:pStyle w:val="Compact"/>
        <w:numPr>
          <w:ilvl w:val="0"/>
          <w:numId w:val="1001"/>
        </w:numPr>
      </w:pPr>
      <w:r>
        <w:t xml:space="preserve">Steen, V. A., Elphick, C. S. &amp; Tingley, M. W. An evaluation of stringent filtering to improve species distribution models from citizen science data.</w:t>
      </w:r>
      <w:r>
        <w:t xml:space="preserve"> </w:t>
      </w:r>
      <w:r>
        <w:rPr>
          <w:i/>
          <w:iCs/>
        </w:rPr>
        <w:t xml:space="preserve">Divers. Distrib.</w:t>
      </w:r>
      <w:r>
        <w:t xml:space="preserve"> </w:t>
      </w:r>
      <w:r>
        <w:rPr>
          <w:b/>
          <w:bCs/>
        </w:rPr>
        <w:t xml:space="preserve">25</w:t>
      </w:r>
      <w:r>
        <w:t xml:space="preserve">, 1857–1869 (2019). https://doi.org/10.1111/ddi.12985</w:t>
      </w:r>
    </w:p>
    <w:p>
      <w:pPr>
        <w:pStyle w:val="Compact"/>
        <w:numPr>
          <w:ilvl w:val="0"/>
          <w:numId w:val="1001"/>
        </w:numPr>
      </w:pPr>
      <w:r>
        <w:t xml:space="preserve">Fink, D. et al. Modeling avian full annual cycle distribution and population trends with citizen science data.</w:t>
      </w:r>
      <w:r>
        <w:t xml:space="preserve"> </w:t>
      </w:r>
      <w:r>
        <w:rPr>
          <w:i/>
          <w:iCs/>
        </w:rPr>
        <w:t xml:space="preserve">Ecol. Appl.</w:t>
      </w:r>
      <w:r>
        <w:t xml:space="preserve"> </w:t>
      </w:r>
      <w:r>
        <w:rPr>
          <w:b/>
          <w:bCs/>
        </w:rPr>
        <w:t xml:space="preserve">30</w:t>
      </w:r>
      <w:r>
        <w:t xml:space="preserve">, e02056 (2020). https://doi.org/10.1002/eap.2056</w:t>
      </w:r>
    </w:p>
    <w:p>
      <w:pPr>
        <w:pStyle w:val="Compact"/>
        <w:numPr>
          <w:ilvl w:val="0"/>
          <w:numId w:val="1001"/>
        </w:numPr>
      </w:pPr>
      <w:r>
        <w:t xml:space="preserve">Zizka, A. et al. CoordinateCleaner: standardized cleaning of occurrence records from biological collection databases.</w:t>
      </w:r>
      <w:r>
        <w:t xml:space="preserve"> </w:t>
      </w:r>
      <w:r>
        <w:rPr>
          <w:i/>
          <w:iCs/>
        </w:rPr>
        <w:t xml:space="preserve">Methods Ecol. Evol.</w:t>
      </w:r>
      <w:r>
        <w:t xml:space="preserve"> </w:t>
      </w:r>
      <w:r>
        <w:rPr>
          <w:b/>
          <w:bCs/>
        </w:rPr>
        <w:t xml:space="preserve">10</w:t>
      </w:r>
      <w:r>
        <w:t xml:space="preserve">, 744–751 (2019). https://doi.org/10.1111/2041-210X.13152</w:t>
      </w:r>
    </w:p>
    <w:p>
      <w:pPr>
        <w:pStyle w:val="Compact"/>
        <w:numPr>
          <w:ilvl w:val="0"/>
          <w:numId w:val="1001"/>
        </w:numPr>
      </w:pPr>
      <w:r>
        <w:t xml:space="preserve">Bird, T. J. et al. Statistical solutions for error and bias in global citizen science datasets.</w:t>
      </w:r>
      <w:r>
        <w:t xml:space="preserve"> </w:t>
      </w:r>
      <w:r>
        <w:rPr>
          <w:i/>
          <w:iCs/>
        </w:rPr>
        <w:t xml:space="preserve">Biol. Conserv.</w:t>
      </w:r>
      <w:r>
        <w:t xml:space="preserve"> </w:t>
      </w:r>
      <w:r>
        <w:rPr>
          <w:b/>
          <w:bCs/>
        </w:rPr>
        <w:t xml:space="preserve">173</w:t>
      </w:r>
      <w:r>
        <w:t xml:space="preserve">, 144–154 (2014). https://doi.org/10.1016/j.biocon.2013.07.037</w:t>
      </w:r>
    </w:p>
    <w:p>
      <w:pPr>
        <w:pStyle w:val="Compact"/>
        <w:numPr>
          <w:ilvl w:val="0"/>
          <w:numId w:val="1001"/>
        </w:numPr>
      </w:pPr>
      <w:r>
        <w:t xml:space="preserve">Sofaer, H. R. et al. Development and delivery of species distribution models to inform decision-making.</w:t>
      </w:r>
      <w:r>
        <w:t xml:space="preserve"> </w:t>
      </w:r>
      <w:r>
        <w:rPr>
          <w:i/>
          <w:iCs/>
        </w:rPr>
        <w:t xml:space="preserve">BioScience</w:t>
      </w:r>
      <w:r>
        <w:t xml:space="preserve"> </w:t>
      </w:r>
      <w:r>
        <w:rPr>
          <w:b/>
          <w:bCs/>
        </w:rPr>
        <w:t xml:space="preserve">69</w:t>
      </w:r>
      <w:r>
        <w:t xml:space="preserve">, 544–557 (2019). https://doi.org/10.1093/biosci/biz045</w:t>
      </w:r>
    </w:p>
    <w:p>
      <w:pPr>
        <w:pStyle w:val="Compact"/>
        <w:numPr>
          <w:ilvl w:val="0"/>
          <w:numId w:val="1001"/>
        </w:numPr>
      </w:pPr>
      <w:r>
        <w:t xml:space="preserve">Hurlbert, A. H. &amp; Liang, Z. Spatiotemporal variation in avian migration phenology: citizen science reveals effects of climate change.</w:t>
      </w:r>
      <w:r>
        <w:t xml:space="preserve"> </w:t>
      </w:r>
      <w:r>
        <w:rPr>
          <w:i/>
          <w:iCs/>
        </w:rPr>
        <w:t xml:space="preserve">PLoS ONE</w:t>
      </w:r>
      <w:r>
        <w:t xml:space="preserve"> </w:t>
      </w:r>
      <w:r>
        <w:rPr>
          <w:b/>
          <w:bCs/>
        </w:rPr>
        <w:t xml:space="preserve">7</w:t>
      </w:r>
      <w:r>
        <w:t xml:space="preserve">, e31662 (2012). https://doi.org/10.1371/journal.pone.0031662</w:t>
      </w:r>
    </w:p>
    <w:p>
      <w:pPr>
        <w:pStyle w:val="Compact"/>
        <w:numPr>
          <w:ilvl w:val="0"/>
          <w:numId w:val="1001"/>
        </w:numPr>
      </w:pPr>
      <w:r>
        <w:t xml:space="preserve">Thomas, C. D. Climate, climate change and range boundaries.</w:t>
      </w:r>
      <w:r>
        <w:t xml:space="preserve"> </w:t>
      </w:r>
      <w:r>
        <w:rPr>
          <w:i/>
          <w:iCs/>
        </w:rPr>
        <w:t xml:space="preserve">Divers. Distrib.</w:t>
      </w:r>
      <w:r>
        <w:t xml:space="preserve"> </w:t>
      </w:r>
      <w:r>
        <w:rPr>
          <w:b/>
          <w:bCs/>
        </w:rPr>
        <w:t xml:space="preserve">16</w:t>
      </w:r>
      <w:r>
        <w:t xml:space="preserve">, 488–495 (2010). https://doi.org/10.1111/j.1472-4642.2010.00642.x</w:t>
      </w:r>
    </w:p>
    <w:p>
      <w:pPr>
        <w:pStyle w:val="Compact"/>
        <w:numPr>
          <w:ilvl w:val="0"/>
          <w:numId w:val="1001"/>
        </w:numPr>
      </w:pPr>
      <w:r>
        <w:t xml:space="preserve">Allison, P. D. Discrete-time methods for the analysis of event histories.</w:t>
      </w:r>
      <w:r>
        <w:t xml:space="preserve"> </w:t>
      </w:r>
      <w:r>
        <w:rPr>
          <w:i/>
          <w:iCs/>
        </w:rPr>
        <w:t xml:space="preserve">Sociol. Methodol.</w:t>
      </w:r>
      <w:r>
        <w:t xml:space="preserve"> </w:t>
      </w:r>
      <w:r>
        <w:rPr>
          <w:b/>
          <w:bCs/>
        </w:rPr>
        <w:t xml:space="preserve">13</w:t>
      </w:r>
      <w:r>
        <w:t xml:space="preserve">, 61–98 (1982). https://doi.org/10.2307/270718</w:t>
      </w:r>
    </w:p>
    <w:p>
      <w:pPr>
        <w:pStyle w:val="Compact"/>
        <w:numPr>
          <w:ilvl w:val="0"/>
          <w:numId w:val="1001"/>
        </w:numPr>
      </w:pPr>
      <w:r>
        <w:t xml:space="preserve">Singer, J. D. &amp; Willett, J. B. It’s about time: using discrete-time survival analysis to study duration and the timing of events.</w:t>
      </w:r>
      <w:r>
        <w:t xml:space="preserve"> </w:t>
      </w:r>
      <w:r>
        <w:rPr>
          <w:i/>
          <w:iCs/>
        </w:rPr>
        <w:t xml:space="preserve">J. Educ. Stat.</w:t>
      </w:r>
      <w:r>
        <w:t xml:space="preserve"> </w:t>
      </w:r>
      <w:r>
        <w:rPr>
          <w:b/>
          <w:bCs/>
        </w:rPr>
        <w:t xml:space="preserve">18</w:t>
      </w:r>
      <w:r>
        <w:t xml:space="preserve">, 155–195 (1993). https://doi.org/10.3102/10769986018002155</w:t>
      </w:r>
    </w:p>
    <w:p>
      <w:pPr>
        <w:pStyle w:val="Compact"/>
        <w:numPr>
          <w:ilvl w:val="0"/>
          <w:numId w:val="1001"/>
        </w:numPr>
      </w:pPr>
      <w:r>
        <w:t xml:space="preserve">Elith, J., Kearney, M. &amp; Phillips, S. The art of modelling range-shifting species.</w:t>
      </w:r>
      <w:r>
        <w:t xml:space="preserve"> </w:t>
      </w:r>
      <w:r>
        <w:rPr>
          <w:i/>
          <w:iCs/>
        </w:rPr>
        <w:t xml:space="preserve">Methods Ecol. Evol.</w:t>
      </w:r>
      <w:r>
        <w:t xml:space="preserve"> </w:t>
      </w:r>
      <w:r>
        <w:rPr>
          <w:b/>
          <w:bCs/>
        </w:rPr>
        <w:t xml:space="preserve">1</w:t>
      </w:r>
      <w:r>
        <w:t xml:space="preserve">, 330–342 (2010). https://doi.org/10.1111/j.2041-210X.2010.00036.x</w:t>
      </w:r>
    </w:p>
    <w:p>
      <w:pPr>
        <w:pStyle w:val="Compact"/>
        <w:numPr>
          <w:ilvl w:val="0"/>
          <w:numId w:val="1001"/>
        </w:numPr>
      </w:pPr>
      <w:r>
        <w:t xml:space="preserve">Zurell, D., Elith, J. &amp; Schröder, B. Predicting to new environments: tools for visualizing model behaviour and impacts on mapped distributions.</w:t>
      </w:r>
      <w:r>
        <w:t xml:space="preserve"> </w:t>
      </w:r>
      <w:r>
        <w:rPr>
          <w:i/>
          <w:iCs/>
        </w:rPr>
        <w:t xml:space="preserve">Divers. Distrib.</w:t>
      </w:r>
      <w:r>
        <w:t xml:space="preserve"> </w:t>
      </w:r>
      <w:r>
        <w:rPr>
          <w:b/>
          <w:bCs/>
        </w:rPr>
        <w:t xml:space="preserve">18</w:t>
      </w:r>
      <w:r>
        <w:t xml:space="preserve">, 628–634 (2012). https://doi.org/10.1111/j.1472-4642.2012.00887.x</w:t>
      </w:r>
    </w:p>
    <w:p>
      <w:pPr>
        <w:pStyle w:val="Compact"/>
        <w:numPr>
          <w:ilvl w:val="0"/>
          <w:numId w:val="1001"/>
        </w:numPr>
      </w:pPr>
      <w:r>
        <w:t xml:space="preserve">Mesgaran, M. B., Cousens, R. D. &amp; Webber, B. L. Here be dragons: a tool for quantifying novelty due to covariate range and correlation change when projecting species distribution models.</w:t>
      </w:r>
      <w:r>
        <w:t xml:space="preserve"> </w:t>
      </w:r>
      <w:r>
        <w:rPr>
          <w:i/>
          <w:iCs/>
        </w:rPr>
        <w:t xml:space="preserve">Divers. Distrib.</w:t>
      </w:r>
      <w:r>
        <w:t xml:space="preserve"> </w:t>
      </w:r>
      <w:r>
        <w:rPr>
          <w:b/>
          <w:bCs/>
        </w:rPr>
        <w:t xml:space="preserve">20</w:t>
      </w:r>
      <w:r>
        <w:t xml:space="preserve">, 1147–1159 (2014). https://doi.org/10.1111/ddi.12209</w:t>
      </w:r>
    </w:p>
    <w:p>
      <w:pPr>
        <w:pStyle w:val="Compact"/>
        <w:numPr>
          <w:ilvl w:val="0"/>
          <w:numId w:val="1001"/>
        </w:numPr>
      </w:pPr>
      <w:r>
        <w:t xml:space="preserve">Yates, K. L. et al. Outstanding challenges in the transferability of ecological models.</w:t>
      </w:r>
      <w:r>
        <w:t xml:space="preserve"> </w:t>
      </w:r>
      <w:r>
        <w:rPr>
          <w:i/>
          <w:iCs/>
        </w:rPr>
        <w:t xml:space="preserve">Trends Ecol. Evol.</w:t>
      </w:r>
      <w:r>
        <w:t xml:space="preserve"> </w:t>
      </w:r>
      <w:r>
        <w:rPr>
          <w:b/>
          <w:bCs/>
        </w:rPr>
        <w:t xml:space="preserve">33</w:t>
      </w:r>
      <w:r>
        <w:t xml:space="preserve">, 790–802 (2018). https://doi.org/10.1016/j.tree.2018.08.001</w:t>
      </w:r>
    </w:p>
    <w:p>
      <w:pPr>
        <w:pStyle w:val="Compact"/>
        <w:numPr>
          <w:ilvl w:val="0"/>
          <w:numId w:val="1001"/>
        </w:numPr>
      </w:pPr>
      <w:r>
        <w:t xml:space="preserve">Hartig, F. DHARMa: residual diagnostics for hierarchical (multi-level/mixed) regression models. R package version 0.4 (2024). https://CRAN.R-project.org/package=DHARMa</w:t>
      </w:r>
    </w:p>
    <w:p>
      <w:pPr>
        <w:pStyle w:val="Compact"/>
        <w:numPr>
          <w:ilvl w:val="0"/>
          <w:numId w:val="1001"/>
        </w:numPr>
      </w:pPr>
      <w:r>
        <w:t xml:space="preserve">Barr, D. J., Levy, R., Scheepers, C. &amp; Tily, H. J. Random effects structure for confirmatory hypothesis testing: keep it maximal.</w:t>
      </w:r>
      <w:r>
        <w:t xml:space="preserve"> </w:t>
      </w:r>
      <w:r>
        <w:rPr>
          <w:i/>
          <w:iCs/>
        </w:rPr>
        <w:t xml:space="preserve">J. Mem. Lang.</w:t>
      </w:r>
      <w:r>
        <w:t xml:space="preserve"> </w:t>
      </w:r>
      <w:r>
        <w:rPr>
          <w:b/>
          <w:bCs/>
        </w:rPr>
        <w:t xml:space="preserve">68</w:t>
      </w:r>
      <w:r>
        <w:t xml:space="preserve">, 255–278 (2013). https://doi.org/10.1016/j.jml.2012.11.001</w:t>
      </w:r>
    </w:p>
    <w:p>
      <w:pPr>
        <w:pStyle w:val="Compact"/>
        <w:numPr>
          <w:ilvl w:val="0"/>
          <w:numId w:val="1001"/>
        </w:numPr>
      </w:pPr>
      <w:r>
        <w:t xml:space="preserve">Schielzeth, H. &amp; Forstmeier, W. Conclusions beyond support: overconfident estimates in mixed models.</w:t>
      </w:r>
      <w:r>
        <w:t xml:space="preserve"> </w:t>
      </w:r>
      <w:r>
        <w:rPr>
          <w:i/>
          <w:iCs/>
        </w:rPr>
        <w:t xml:space="preserve">Behav. Ecol.</w:t>
      </w:r>
      <w:r>
        <w:t xml:space="preserve"> </w:t>
      </w:r>
      <w:r>
        <w:rPr>
          <w:b/>
          <w:bCs/>
        </w:rPr>
        <w:t xml:space="preserve">20</w:t>
      </w:r>
      <w:r>
        <w:t xml:space="preserve">, 416–420 (2009). https://doi.org/10.1093/beheco/arn145</w:t>
      </w:r>
    </w:p>
    <w:p>
      <w:pPr>
        <w:pStyle w:val="Compact"/>
        <w:numPr>
          <w:ilvl w:val="0"/>
          <w:numId w:val="1001"/>
        </w:numPr>
      </w:pPr>
      <w:r>
        <w:t xml:space="preserve">Tredennick, A. T., Hooker, G., Ellner, S. P. &amp; Adler, P. B. A practical guide to selecting models for exploration, inference, and prediction in ecology.</w:t>
      </w:r>
      <w:r>
        <w:t xml:space="preserve"> </w:t>
      </w:r>
      <w:r>
        <w:rPr>
          <w:i/>
          <w:iCs/>
        </w:rPr>
        <w:t xml:space="preserve">Ecology</w:t>
      </w:r>
      <w:r>
        <w:t xml:space="preserve"> </w:t>
      </w:r>
      <w:r>
        <w:rPr>
          <w:b/>
          <w:bCs/>
        </w:rPr>
        <w:t xml:space="preserve">102</w:t>
      </w:r>
      <w:r>
        <w:t xml:space="preserve">, e03336 (2021). https://doi.org/10.1002/ecy.3336</w:t>
      </w:r>
    </w:p>
    <w:p>
      <w:pPr>
        <w:pStyle w:val="Compact"/>
        <w:numPr>
          <w:ilvl w:val="0"/>
          <w:numId w:val="1001"/>
        </w:numPr>
      </w:pPr>
      <w:r>
        <w:t xml:space="preserve">Mundlak, Y. On the pooling of time series and cross section data.</w:t>
      </w:r>
      <w:r>
        <w:t xml:space="preserve"> </w:t>
      </w:r>
      <w:r>
        <w:rPr>
          <w:i/>
          <w:iCs/>
        </w:rPr>
        <w:t xml:space="preserve">Econometrica</w:t>
      </w:r>
      <w:r>
        <w:t xml:space="preserve"> </w:t>
      </w:r>
      <w:r>
        <w:rPr>
          <w:b/>
          <w:bCs/>
        </w:rPr>
        <w:t xml:space="preserve">46</w:t>
      </w:r>
      <w:r>
        <w:t xml:space="preserve">, 69–85 (1978). https://doi.org/10.2307/1913646</w:t>
      </w:r>
    </w:p>
    <w:p>
      <w:pPr>
        <w:pStyle w:val="FirstParagraph"/>
      </w:pPr>
      <w:r>
        <w:rPr>
          <w:i/>
          <w:iCs/>
        </w:rPr>
        <w:t xml:space="preserve">In-text superscripts [A1]–[A6] refer to references 72, 73, 74, 76, 77 and 78 respectively. All digital object identifiers were verified against Crossref on 26 July 2026. Reference 25 is a companion data descriptor currently under review and will be updated on acceptance.</w:t>
      </w:r>
    </w:p>
    <w:p>
      <w:r>
        <w:pict>
          <v:rect style="width:0;height:1.5pt" o:hralign="center" o:hrstd="t" o:hr="t"/>
        </w:pict>
      </w:r>
    </w:p>
    <w:bookmarkEnd w:id="26"/>
    <w:bookmarkStart w:id="38" w:name="methods"/>
    <w:p>
      <w:pPr>
        <w:pStyle w:val="Heading2"/>
      </w:pPr>
      <w:r>
        <w:t xml:space="preserve">Methods</w:t>
      </w:r>
    </w:p>
    <w:bookmarkStart w:id="27" w:name="event-data-and-dating"/>
    <w:p>
      <w:pPr>
        <w:pStyle w:val="Heading3"/>
      </w:pPr>
      <w:r>
        <w:t xml:space="preserve">Event data and dating</w:t>
      </w:r>
    </w:p>
    <w:p>
      <w:pPr>
        <w:pStyle w:val="FirstParagraph"/>
      </w:pPr>
      <w:r>
        <w:t xml:space="preserve">New provincial-level bird distribution records for China were taken from the released compilation of 1,029 records covering 2000–2025</w:t>
      </w:r>
      <w:r>
        <w:rPr>
          <w:vertAlign w:val="superscript"/>
        </w:rPr>
        <w:t xml:space="preserve">25</w:t>
      </w:r>
      <w:r>
        <w:t xml:space="preserve">. Each record carries a discovery date and a source publication year. We parsed a four-digit year from the discovery date field, obtaining a usable year for 1,028 of 1,029 records. Nine further records reported a discovery year later than the publication year, which is internally inconsistent; for these ten records in total we substituted publication year minus the median lag of one year, and flagged the substitution in the released data.</w:t>
      </w:r>
    </w:p>
    <w:p>
      <w:pPr>
        <w:pStyle w:val="BodyText"/>
      </w:pPr>
      <w:r>
        <w:t xml:space="preserve">Species names were harmonised by trying, in order, the Catalogue of Life China 2026, BirdLife International v10 and Clements v2025 names supplied with the compilation, retaining the first that matched the candidate pool; provincial names were harmonised by mapping Xizang to Tibet. Taiwan, Hong Kong and Macao were excluded because the survey-effort compilation does not cover them.</w:t>
      </w:r>
    </w:p>
    <w:p>
      <w:pPr>
        <w:pStyle w:val="BodyText"/>
      </w:pPr>
      <w:r>
        <w:t xml:space="preserve">For each species × province pair we retained the earliest event year; later reports of the same pair were treated as re-documentation. Pairs whose earliest record predates 2002 describe species already present at the start of the analysis window and were removed from the risk set as prevalent rather than incident cases. Every remaining event was forced into the risk set irrespective of its species-distribution-model status.</w:t>
      </w:r>
    </w:p>
    <w:bookmarkEnd w:id="27"/>
    <w:bookmarkStart w:id="28" w:name="reporting-completeness"/>
    <w:p>
      <w:pPr>
        <w:pStyle w:val="Heading3"/>
      </w:pPr>
      <w:r>
        <w:t xml:space="preserve">Reporting completeness</w:t>
      </w:r>
    </w:p>
    <w:p>
      <w:pPr>
        <w:pStyle w:val="FirstParagraph"/>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We verified that lag is stationary across discovery years using Spearman correlation and a Wilcoxon comparison of the first and second halves of the well-reported period (2002–2018), and by comparing the cumulative distributions directly.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bookmarkEnd w:id="28"/>
    <w:bookmarkStart w:id="29" w:name="risk-set"/>
    <w:p>
      <w:pPr>
        <w:pStyle w:val="Heading3"/>
      </w:pPr>
      <w:r>
        <w:t xml:space="preserve">Risk set</w:t>
      </w:r>
    </w:p>
    <w:p>
      <w:pPr>
        <w:pStyle w:val="FirstParagraph"/>
      </w:pPr>
      <w:r>
        <w:t xml:space="preserve">The candidate pool for each species comprises every province in which its species distribution model marks at least a threshold number of suitable grid cells, plus every province in which the species was actually recorded. Cells are those of the 2.5-arc-minute climate surface and have a median area of 18.3 km² (about 4.3 km on a side), so the three thresholds of 50, 100 and 200 cells require roughly 0.9, 1.8 and 3.7 thousand km² of suitable habitat within the province. Each species × province pair contributes one row per year from 2002 until the year of its first record, after which it exits the risk set (absorbing exit). At the 50-cell threshold this yields 8,319 pairs, 185,478 rows and 657 events.</w:t>
      </w:r>
    </w:p>
    <w:bookmarkEnd w:id="29"/>
    <w:bookmarkStart w:id="30" w:name="climate-variables"/>
    <w:p>
      <w:pPr>
        <w:pStyle w:val="Heading3"/>
      </w:pPr>
      <w:r>
        <w:t xml:space="preserve">Climate variables</w:t>
      </w:r>
    </w:p>
    <w:p>
      <w:pPr>
        <w:pStyle w:val="FirstParagraph"/>
      </w:pPr>
      <w:r>
        <w:t xml:space="preserve">Monthly temperature surfaces at 10 arc-minutes for 1980–2024 were taken from the WorldClim 2.1 downscaling of CRU TS 4.09</w:t>
      </w:r>
      <w:r>
        <w:rPr>
          <w:vertAlign w:val="superscript"/>
        </w:rPr>
        <w:t xml:space="preserve">53,54</w:t>
      </w:r>
      <w:r>
        <w:t xml:space="preserve">. We computed four indicators: annual mean temperature, winter mean temperature, warmest-month maximum temperature and coldest-month minimum temperature. Provincial series</w:t>
      </w:r>
      <w:r>
        <w:t xml:space="preserve"> </w:t>
      </w:r>
      <w:r>
        <w:rPr>
          <w:i/>
          <w:iCs/>
        </w:rPr>
        <w:t xml:space="preserve">T</w:t>
      </w:r>
      <w:r>
        <w:t xml:space="preserve">(</w:t>
      </w:r>
      <w:r>
        <w:rPr>
          <w:i/>
          <w:iCs/>
        </w:rPr>
        <w:t xml:space="preserve">p</w:t>
      </w:r>
      <w:r>
        <w:t xml:space="preserve">,</w:t>
      </w:r>
      <w:r>
        <w:rPr>
          <w:i/>
          <w:iCs/>
        </w:rPr>
        <w:t xml:space="preserve">t</w:t>
      </w:r>
      <w:r>
        <w:t xml:space="preserve">) are area-weighted means over the 100 km analysis grid, weighted by the area of overlap between each grid cell and the province; species-range series</w:t>
      </w:r>
      <w:r>
        <w:t xml:space="preserve"> </w:t>
      </w:r>
      <w:r>
        <w:rPr>
          <w:i/>
          <w:iCs/>
        </w:rPr>
        <w:t xml:space="preserve">N</w:t>
      </w:r>
      <w:r>
        <w:t xml:space="preserve">(</w:t>
      </w:r>
      <w:r>
        <w:rPr>
          <w:i/>
          <w:iCs/>
        </w:rPr>
        <w:t xml:space="preserve">s</w:t>
      </w:r>
      <w:r>
        <w:t xml:space="preserve">,</w:t>
      </w:r>
      <w:r>
        <w:rPr>
          <w:i/>
          <w:iCs/>
        </w:rPr>
        <w:t xml:space="preserve">t</w:t>
      </w:r>
      <w:r>
        <w:t xml:space="preserve">) are means over the species’ Chinese range polygon. Baselines</w:t>
      </w:r>
      <w:r>
        <w:t xml:space="preserve"> </w:t>
      </w:r>
      <w:r>
        <w:rPr>
          <w:i/>
          <w:iCs/>
        </w:rPr>
        <w:t xml:space="preserve">T</w:t>
      </w:r>
      <w:r>
        <w:t xml:space="preserve">base and</w:t>
      </w:r>
      <w:r>
        <w:t xml:space="preserve"> </w:t>
      </w:r>
      <w:r>
        <w:rPr>
          <w:i/>
          <w:iCs/>
        </w:rPr>
        <w:t xml:space="preserve">N</w:t>
      </w:r>
      <w:r>
        <w:t xml:space="preserve">base are 1980–2000 means at both ends.</w:t>
      </w:r>
    </w:p>
    <w:p>
      <w:pPr>
        <w:pStyle w:val="BodyText"/>
      </w:pPr>
      <w:r>
        <w:t xml:space="preserve">The species-referenced climate gradient is</w:t>
      </w:r>
    </w:p>
    <w:p>
      <w:pPr>
        <w:pStyle w:val="BodyText"/>
      </w:pP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w:t>
      </w:r>
      <w:r>
        <w:rPr>
          <w:i/>
          <w:iCs/>
        </w:rPr>
        <w:t xml:space="preserve">T</w:t>
      </w:r>
      <w:r>
        <w:t xml:space="preserve">(</w:t>
      </w:r>
      <w:r>
        <w:rPr>
          <w:i/>
          <w:iCs/>
        </w:rPr>
        <w:t xml:space="preserve">p</w:t>
      </w:r>
      <w:r>
        <w:t xml:space="preserve">,</w:t>
      </w:r>
      <w:r>
        <w:rPr>
          <w:i/>
          <w:iCs/>
        </w:rPr>
        <w:t xml:space="preserve">t</w:t>
      </w:r>
      <w:r>
        <w:t xml:space="preserve">) −</w:t>
      </w:r>
      <w:r>
        <w:t xml:space="preserve"> </w:t>
      </w:r>
      <w:r>
        <w:rPr>
          <w:i/>
          <w:iCs/>
        </w:rPr>
        <w:t xml:space="preserve">T</w:t>
      </w:r>
      <w:r>
        <w:t xml:space="preserve">base(</w:t>
      </w:r>
      <w:r>
        <w:rPr>
          <w:i/>
          <w:iCs/>
        </w:rPr>
        <w:t xml:space="preserve">p</w:t>
      </w:r>
      <w:r>
        <w:t xml:space="preserve">)] − [</w:t>
      </w:r>
      <w:r>
        <w:rPr>
          <w:i/>
          <w:iCs/>
        </w:rPr>
        <w:t xml:space="preserve">N</w:t>
      </w:r>
      <w:r>
        <w:t xml:space="preserve">(</w:t>
      </w:r>
      <w:r>
        <w:rPr>
          <w:i/>
          <w:iCs/>
        </w:rPr>
        <w:t xml:space="preserve">s</w:t>
      </w:r>
      <w:r>
        <w:t xml:space="preserve">,</w:t>
      </w:r>
      <w:r>
        <w:rPr>
          <w:i/>
          <w:iCs/>
        </w:rPr>
        <w:t xml:space="preserve">t</w:t>
      </w:r>
      <w:r>
        <w:t xml:space="preserve">) −</w:t>
      </w:r>
      <w:r>
        <w:t xml:space="preserve"> </w:t>
      </w:r>
      <w:r>
        <w:rPr>
          <w:i/>
          <w:iCs/>
        </w:rPr>
        <w:t xml:space="preserve">N</w:t>
      </w:r>
      <w:r>
        <w:t xml:space="preserve">base(</w:t>
      </w:r>
      <w:r>
        <w:rPr>
          <w:i/>
          <w:iCs/>
        </w:rPr>
        <w:t xml:space="preserve">s</w:t>
      </w:r>
      <w:r>
        <w:t xml:space="preserve">)],</w:t>
      </w:r>
    </w:p>
    <w:p>
      <w:pPr>
        <w:pStyle w:val="BodyText"/>
      </w:pPr>
      <w:r>
        <w:t xml:space="preserve">that is, how much more the target province has warmed than the species’ own historical range. This is decomposed, strictly backward-looking, into an accumulated component and a residual:</w:t>
      </w:r>
    </w:p>
    <w:p>
      <w:pPr>
        <w:pStyle w:val="BodyText"/>
      </w:pPr>
      <w:r>
        <w:t xml:space="preserve">clim_change(</w:t>
      </w:r>
      <w:r>
        <w:rPr>
          <w:i/>
          <w:iCs/>
        </w:rPr>
        <w:t xml:space="preserve">s</w:t>
      </w:r>
      <w:r>
        <w:t xml:space="preserve">,</w:t>
      </w:r>
      <w:r>
        <w:rPr>
          <w:i/>
          <w:iCs/>
        </w:rPr>
        <w:t xml:space="preserve">p</w:t>
      </w:r>
      <w:r>
        <w:t xml:space="preserve">,</w:t>
      </w:r>
      <w:r>
        <w:rPr>
          <w:i/>
          <w:iCs/>
        </w:rPr>
        <w:t xml:space="preserve">t</w:t>
      </w:r>
      <w:r>
        <w:t xml:space="preserve">) = mean of</w:t>
      </w:r>
      <w:r>
        <w:t xml:space="preserve"> </w:t>
      </w:r>
      <w:r>
        <w:rPr>
          <w:i/>
          <w:iCs/>
        </w:rPr>
        <w:t xml:space="preserve">x</w:t>
      </w:r>
      <w:r>
        <w:t xml:space="preserve"> </w:t>
      </w:r>
      <w:r>
        <w:t xml:space="preserve">over [</w:t>
      </w:r>
      <w:r>
        <w:rPr>
          <w:i/>
          <w:iCs/>
        </w:rPr>
        <w:t xml:space="preserve">t</w:t>
      </w:r>
      <w:r>
        <w:t xml:space="preserve"> </w:t>
      </w:r>
      <w:r>
        <w:t xml:space="preserve">−</w:t>
      </w:r>
      <w:r>
        <w:t xml:space="preserve"> </w:t>
      </w:r>
      <w:r>
        <w:rPr>
          <w:i/>
          <w:iCs/>
        </w:rPr>
        <w:t xml:space="preserve">W</w:t>
      </w:r>
      <w:r>
        <w:t xml:space="preserve"> </w:t>
      </w:r>
      <w:r>
        <w:t xml:space="preserve">+ 1,</w:t>
      </w:r>
      <w:r>
        <w:t xml:space="preserve"> </w:t>
      </w:r>
      <w:r>
        <w:rPr>
          <w:i/>
          <w:iCs/>
        </w:rPr>
        <w:t xml:space="preserve">t</w:t>
      </w:r>
      <w:r>
        <w:t xml:space="preserve">],</w:t>
      </w:r>
      <w:r>
        <w:t xml:space="preserve"> </w:t>
      </w:r>
      <w:r>
        <w:t xml:space="preserve">clim_var(</w:t>
      </w:r>
      <w:r>
        <w:rPr>
          <w:i/>
          <w:iCs/>
        </w:rPr>
        <w:t xml:space="preserve">s</w:t>
      </w:r>
      <w:r>
        <w:t xml:space="preserve">,</w:t>
      </w:r>
      <w:r>
        <w:rPr>
          <w:i/>
          <w:iCs/>
        </w:rPr>
        <w:t xml:space="preserve">p</w:t>
      </w:r>
      <w:r>
        <w:t xml:space="preserve">,</w:t>
      </w:r>
      <w:r>
        <w:rPr>
          <w:i/>
          <w:iCs/>
        </w:rPr>
        <w:t xml:space="preserve">t</w:t>
      </w:r>
      <w:r>
        <w:t xml:space="preserve">) =</w:t>
      </w:r>
      <w:r>
        <w:t xml:space="preserve"> </w:t>
      </w: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clim_change(</w:t>
      </w:r>
      <w:r>
        <w:rPr>
          <w:i/>
          <w:iCs/>
        </w:rPr>
        <w:t xml:space="preserve">s</w:t>
      </w:r>
      <w:r>
        <w:t xml:space="preserve">,</w:t>
      </w:r>
      <w:r>
        <w:rPr>
          <w:i/>
          <w:iCs/>
        </w:rPr>
        <w:t xml:space="preserve">p</w:t>
      </w:r>
      <w:r>
        <w:t xml:space="preserve">,</w:t>
      </w:r>
      <w:r>
        <w:rPr>
          <w:i/>
          <w:iCs/>
        </w:rPr>
        <w:t xml:space="preserve">t</w:t>
      </w:r>
      <w:r>
        <w:t xml:space="preserve">),</w:t>
      </w:r>
    </w:p>
    <w:p>
      <w:pPr>
        <w:pStyle w:val="BodyText"/>
      </w:pPr>
      <w:r>
        <w:t xml:space="preserve">with</w:t>
      </w:r>
      <w:r>
        <w:t xml:space="preserve"> </w:t>
      </w:r>
      <w:r>
        <w:rPr>
          <w:i/>
          <w:iCs/>
        </w:rPr>
        <w:t xml:space="preserve">W</w:t>
      </w:r>
      <w:r>
        <w:t xml:space="preserve"> </w:t>
      </w:r>
      <w:r>
        <w:t xml:space="preserve">∈ {5, 10, 15, 20} years. Because the surfaces extend back to 1980, no analysis-period rows are lost to the trailing window at any</w:t>
      </w:r>
      <w:r>
        <w:t xml:space="preserve"> </w:t>
      </w:r>
      <w:r>
        <w:rPr>
          <w:i/>
          <w:iCs/>
        </w:rPr>
        <w:t xml:space="preserve">W</w:t>
      </w:r>
      <w:r>
        <w:t xml:space="preserve">. The main specification uses annual mean temperature with</w:t>
      </w:r>
      <w:r>
        <w:t xml:space="preserve"> </w:t>
      </w:r>
      <w:r>
        <w:rPr>
          <w:i/>
          <w:iCs/>
        </w:rPr>
        <w:t xml:space="preserve">W</w:t>
      </w:r>
      <w:r>
        <w:t xml:space="preserve"> </w:t>
      </w:r>
      <w:r>
        <w:t xml:space="preserve">= 15.</w:t>
      </w:r>
    </w:p>
    <w:bookmarkEnd w:id="30"/>
    <w:bookmarkStart w:id="31" w:name="survey-effort"/>
    <w:p>
      <w:pPr>
        <w:pStyle w:val="Heading3"/>
      </w:pPr>
      <w:r>
        <w:t xml:space="preserve">Survey effort</w:t>
      </w:r>
    </w:p>
    <w:p>
      <w:pPr>
        <w:pStyle w:val="FirstParagraph"/>
      </w:pPr>
      <w:r>
        <w:t xml:space="preserve">Provincial annual survey effort was compiled from integrated observation records and expressed through four proxies: number of visits, number of distinct observers, number of birding days and number of records. Thirty-nine province-years (Hong Kong, Macao and Taiwan) have no coverage in the source database. A further 24 mainland province-years were recorded as exactly zero. We treat these as coverage gaps rather than true zeros: in 22 of 24, the adjacent years in the same province record between one and 27 visits. In the main analysis these cells are missing; sensitivity analyses zero-fill them (the previously published treatment) and impute them by within-province linear interpolation on the log scale, which is bounded by the neighbouring observed values. Each proxy is log1p-transformed and standardised within the analysis scope separately for each missing-data rule.</w:t>
      </w:r>
    </w:p>
    <w:bookmarkEnd w:id="31"/>
    <w:bookmarkStart w:id="32" w:name="model"/>
    <w:p>
      <w:pPr>
        <w:pStyle w:val="Heading3"/>
      </w:pPr>
      <w:r>
        <w:t xml:space="preserve">Model</w:t>
      </w:r>
    </w:p>
    <w:p>
      <w:pPr>
        <w:pStyle w:val="FirstParagraph"/>
      </w:pPr>
      <w:r>
        <w:t xml:space="preserve">We model the annual hazard that species</w:t>
      </w:r>
      <w:r>
        <w:t xml:space="preserve"> </w:t>
      </w:r>
      <w:r>
        <w:rPr>
          <w:i/>
          <w:iCs/>
        </w:rPr>
        <w:t xml:space="preserve">s</w:t>
      </w:r>
      <w:r>
        <w:t xml:space="preserve"> </w:t>
      </w:r>
      <w:r>
        <w:t xml:space="preserve">is first recorded in province</w:t>
      </w:r>
      <w:r>
        <w:t xml:space="preserve"> </w:t>
      </w:r>
      <w:r>
        <w:rPr>
          <w:i/>
          <w:iCs/>
        </w:rPr>
        <w:t xml:space="preserve">p</w:t>
      </w:r>
      <w:r>
        <w:t xml:space="preserve"> </w:t>
      </w:r>
      <w:r>
        <w:t xml:space="preserve">in year</w:t>
      </w:r>
      <w:r>
        <w:t xml:space="preserve"> </w:t>
      </w:r>
      <w:r>
        <w:rPr>
          <w:i/>
          <w:iCs/>
        </w:rPr>
        <w:t xml:space="preserve">t</w:t>
      </w:r>
      <w:r>
        <w:t xml:space="preserve"> </w:t>
      </w:r>
      <w:r>
        <w:t xml:space="preserve">as a discrete-time proportional-hazards model with a complementary log-log link</w:t>
      </w:r>
      <w:r>
        <w:rPr>
          <w:vertAlign w:val="superscript"/>
        </w:rPr>
        <w:t xml:space="preserve">72,73,55</w:t>
      </w:r>
      <w:r>
        <w:t xml:space="preserve">:</w:t>
      </w:r>
    </w:p>
    <w:p>
      <w:pPr>
        <w:pStyle w:val="BodyText"/>
      </w:pPr>
      <w:r>
        <w:t xml:space="preserve">log(−log(1 −</w:t>
      </w:r>
      <w:r>
        <w:t xml:space="preserve"> </w:t>
      </w:r>
      <w:r>
        <w:rPr>
          <w:i/>
          <w:iCs/>
        </w:rPr>
        <w:t xml:space="preserve">h</w:t>
      </w:r>
      <w:r>
        <w:t xml:space="preserve">(</w:t>
      </w:r>
      <w:r>
        <w:rPr>
          <w:i/>
          <w:iCs/>
        </w:rPr>
        <w:t xml:space="preserve">s</w:t>
      </w:r>
      <w:r>
        <w:t xml:space="preserve">,</w:t>
      </w:r>
      <w:r>
        <w:rPr>
          <w:i/>
          <w:iCs/>
        </w:rPr>
        <w:t xml:space="preserve">p</w:t>
      </w:r>
      <w:r>
        <w:t xml:space="preserve">,</w:t>
      </w:r>
      <w:r>
        <w:rPr>
          <w:i/>
          <w:iCs/>
        </w:rPr>
        <w:t xml:space="preserve">t</w:t>
      </w:r>
      <w:r>
        <w:t xml:space="preserve">))) = β₀ + β₁·clim_change_z + β₂·effort_z + β₃·(clim_change_z × effort_z) + β₄·clim_var_z + log</w:t>
      </w:r>
      <w:r>
        <w:t xml:space="preserve"> </w:t>
      </w:r>
      <w:r>
        <w:rPr>
          <w:i/>
          <w:iCs/>
        </w:rPr>
        <w:t xml:space="preserve">c</w:t>
      </w:r>
      <w:r>
        <w:t xml:space="preserve">(</w:t>
      </w:r>
      <w:r>
        <w:rPr>
          <w:i/>
          <w:iCs/>
        </w:rPr>
        <w:t xml:space="preserve">t</w:t>
      </w:r>
      <w:r>
        <w:t xml:space="preserve">) +</w:t>
      </w:r>
      <w:r>
        <w:t xml:space="preserve"> </w:t>
      </w:r>
      <w:r>
        <w:rPr>
          <w:i/>
          <w:iCs/>
        </w:rPr>
        <w:t xml:space="preserve">u</w:t>
      </w:r>
      <w:r>
        <w:t xml:space="preserve">ₛ +</w:t>
      </w:r>
      <w:r>
        <w:t xml:space="preserve"> </w:t>
      </w:r>
      <w:r>
        <w:rPr>
          <w:i/>
          <w:iCs/>
        </w:rPr>
        <w:t xml:space="preserve">v</w:t>
      </w:r>
      <w:r>
        <w:t xml:space="preserve">ₚ +</w:t>
      </w:r>
      <w:r>
        <w:t xml:space="preserve"> </w:t>
      </w:r>
      <w:r>
        <w:rPr>
          <w:i/>
          <w:iCs/>
        </w:rPr>
        <w:t xml:space="preserve">w</w:t>
      </w:r>
      <w:r>
        <w:t xml:space="preserve">ₚₜ,</w:t>
      </w:r>
    </w:p>
    <w:p>
      <w:pPr>
        <w:pStyle w:val="BodyText"/>
      </w:pPr>
      <w:r>
        <w:t xml:space="preserve">with</w:t>
      </w:r>
      <w:r>
        <w:t xml:space="preserve"> </w:t>
      </w:r>
      <w:r>
        <w:rPr>
          <w:i/>
          <w:iCs/>
        </w:rPr>
        <w:t xml:space="preserve">u</w:t>
      </w:r>
      <w:r>
        <w:t xml:space="preserve">ₛ ~ N(0, σ²species),</w:t>
      </w:r>
      <w:r>
        <w:t xml:space="preserve"> </w:t>
      </w:r>
      <w:r>
        <w:rPr>
          <w:i/>
          <w:iCs/>
        </w:rPr>
        <w:t xml:space="preserve">v</w:t>
      </w:r>
      <w:r>
        <w:t xml:space="preserve">ₚ ~ N(0, σ²province) and</w:t>
      </w:r>
      <w:r>
        <w:t xml:space="preserve"> </w:t>
      </w:r>
      <w:r>
        <w:rPr>
          <w:i/>
          <w:iCs/>
        </w:rPr>
        <w:t xml:space="preserve">w</w:t>
      </w:r>
      <w:r>
        <w:t xml:space="preserve">ₚₜ ~ N(0, σ²province×year). All predictors are standardised on the analysis sample, so coefficients are hazard ratios per standard deviation. Models were fitted with glmmTMB 1.1</w:t>
      </w:r>
      <w:r>
        <w:rPr>
          <w:vertAlign w:val="superscript"/>
        </w:rPr>
        <w:t xml:space="preserve">55</w:t>
      </w:r>
      <w:r>
        <w:t xml:space="preserve">.</w:t>
      </w:r>
    </w:p>
    <w:p>
      <w:pPr>
        <w:pStyle w:val="BodyText"/>
      </w:pPr>
      <w:r>
        <w:t xml:space="preserve">Six random-effect structures were compared on four criteria: AIC and BIC; explanatory power (McFadden pseudo-</w:t>
      </w:r>
      <w:r>
        <w:rPr>
          <w:i/>
          <w:iCs/>
        </w:rPr>
        <w:t xml:space="preserve">R</w:t>
      </w:r>
      <w:r>
        <w:t xml:space="preserve">², Nakagawa marginal and conditional</w:t>
      </w:r>
      <w:r>
        <w:t xml:space="preserve"> </w:t>
      </w:r>
      <w:r>
        <w:rPr>
          <w:i/>
          <w:iCs/>
        </w:rPr>
        <w:t xml:space="preserve">R</w:t>
      </w:r>
      <w:r>
        <w:t xml:space="preserve">²</w:t>
      </w:r>
      <w:r>
        <w:rPr>
          <w:vertAlign w:val="superscript"/>
        </w:rPr>
        <w:t xml:space="preserve">56</w:t>
      </w:r>
      <w:r>
        <w:t xml:space="preserve">, and marginal and conditional AUC); variance-component identifiability; and the ecological interpretability of each term. The structure reported above was frozen before the robustness analyses were run.</w:t>
      </w:r>
    </w:p>
    <w:bookmarkEnd w:id="32"/>
    <w:bookmarkStart w:id="33" w:name="resampling-and-null-models"/>
    <w:p>
      <w:pPr>
        <w:pStyle w:val="Heading3"/>
      </w:pPr>
      <w:r>
        <w:t xml:space="preserve">Resampling and null models</w:t>
      </w:r>
    </w:p>
    <w:p>
      <w:pPr>
        <w:pStyle w:val="FirstParagraph"/>
      </w:pPr>
      <w:r>
        <w:t xml:space="preserve">Three design-preserving permutation nulls were constructed, each breaking exactly one association: N1 shuffles accumulated warming among species within each province-year; N2 shuffles survey effort across years within each province; N3 shuffles the event indicator among the species at risk within each province-year. Every null therefore leaves the risk-set size, the per-province-year event count, the marginal distributions of effort and reporting completeness, and the random-effect hierarchy identical to the observed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reduces fit time from 61 to 39 seconds while changing coefficients by less than 10⁻³.</w:t>
      </w:r>
    </w:p>
    <w:bookmarkEnd w:id="33"/>
    <w:bookmarkStart w:id="34" w:name="diagnostics"/>
    <w:p>
      <w:pPr>
        <w:pStyle w:val="Heading3"/>
      </w:pPr>
      <w:r>
        <w:t xml:space="preserve">Diagnostics</w:t>
      </w:r>
    </w:p>
    <w:p>
      <w:pPr>
        <w:pStyle w:val="FirstParagraph"/>
      </w:pPr>
      <w:r>
        <w:t xml:space="preserve">Residual diagnostics used simulation-based scaled residuals with 500 simulations</w:t>
      </w:r>
      <w:r>
        <w:rPr>
          <w:vertAlign w:val="superscript"/>
        </w:rPr>
        <w:t xml:space="preserve">78</w:t>
      </w:r>
      <w:r>
        <w:t xml:space="preserve">: uniformity, dispersion, outliers, zero inflation, and grouped uniformity by year and by province. Spatial autocorrelation was assessed as Moran’s</w:t>
      </w:r>
      <w:r>
        <w:t xml:space="preserve"> </w:t>
      </w:r>
      <w:r>
        <w:rPr>
          <w:i/>
          <w:iCs/>
        </w:rPr>
        <w:t xml:space="preserve">I</w:t>
      </w:r>
      <w:r>
        <w:t xml:space="preserve"> </w:t>
      </w:r>
      <w:r>
        <w:t xml:space="preserve">on province-mean residuals with inverse-distance weights and a 999-permutation null. Proportional hazards were tested by adding interactions between each focal term and standardised year.</w:t>
      </w:r>
    </w:p>
    <w:bookmarkEnd w:id="34"/>
    <w:bookmarkStart w:id="35" w:name="projections"/>
    <w:p>
      <w:pPr>
        <w:pStyle w:val="Heading3"/>
      </w:pPr>
      <w:r>
        <w:t xml:space="preserve">Projections</w:t>
      </w:r>
    </w:p>
    <w:p>
      <w:pPr>
        <w:pStyle w:val="FirstParagraph"/>
      </w:pPr>
      <w:r>
        <w:t xml:space="preserve">CMIP6 four-model ensemble median deltas for annual mean temperature were computed for SSP2-4.5 and SSP5-8.5 at 2030, 2050 and 2080, separately for each province and each species range, and added to both ends of the climate gradient. Effort was grown at 0.30 (SSP2-4.5) and 0.60 (SSP5-8.5) standard deviations per decade. Predictions set the province-by-year random effect to its expectation and the completeness offset to log 1, so the projected quantity is the latent generation hazard. Support was defined as the 1st–99th percentile of the fitted accumulated warming and effort; main projection figures aggregate only cells inside this range, and the share of qualifying cells is reported on every panel.</w:t>
      </w:r>
    </w:p>
    <w:p>
      <w:pPr>
        <w:pStyle w:val="BodyText"/>
      </w:pPr>
      <w:r>
        <w:t xml:space="preserve">To separate the two scenario axes we also projected the frozen model over a 2 × 2 × 2 grid: SSP2-4.5 or SSP5-8.5 deltas; effort frozen at 2024 or growing at 0.6 SD per decade (observed pace 1.19); horizons 2030 and 2050. Province-by-year effects for future years were set to their expectation, species and province effects retained, and provincial expectations summed over species. Future county surfaces hold the 2024 allocation shares fixed.</w:t>
      </w:r>
    </w:p>
    <w:bookmarkEnd w:id="35"/>
    <w:bookmarkStart w:id="36" w:name="model-family-comparison"/>
    <w:p>
      <w:pPr>
        <w:pStyle w:val="Heading3"/>
      </w:pPr>
      <w:r>
        <w:t xml:space="preserve">Model-family comparison</w:t>
      </w:r>
    </w:p>
    <w:p>
      <w:pPr>
        <w:pStyle w:val="FirstParagraph"/>
      </w:pPr>
      <w:r>
        <w:t xml:space="preserve">The projection comparison used a gradient-boosted model (XGBoost, 400 rounds, learning rate 0.05, depth 4)</w:t>
      </w:r>
      <w:r>
        <w:rPr>
          <w:vertAlign w:val="superscript"/>
        </w:rPr>
        <w:t xml:space="preserve">36</w:t>
      </w:r>
      <w:r>
        <w:t xml:space="preserve"> </w:t>
      </w:r>
      <w:r>
        <w:t xml:space="preserve">on the same three predictors, with exact TreeSHAP attributions</w:t>
      </w:r>
      <w:r>
        <w:rPr>
          <w:vertAlign w:val="superscript"/>
        </w:rPr>
        <w:t xml:space="preserve">35</w:t>
      </w:r>
      <w:r>
        <w:t xml:space="preserve">. For the cross-validated comparison, a random forest (ranger, 800 trees, class-balanced down-sampling) and XGBoost (300 rounds, learning rate 0.05, depth 5, positive-class weight n₀/n₁) were fitted to the province-level risk set under the main model’s four validation schemes with identical folds and to the prefecture- and county-level allocation sets under temporal and leave-one-province splits with within-stratum rank skill. Hyperparameters were fixed, not tuned per fold.</w:t>
      </w:r>
    </w:p>
    <w:bookmarkEnd w:id="36"/>
    <w:bookmarkStart w:id="37" w:name="data-and-code-availability"/>
    <w:p>
      <w:pPr>
        <w:pStyle w:val="Heading3"/>
      </w:pPr>
      <w:r>
        <w:t xml:space="preserve">Data and code availability</w:t>
      </w:r>
    </w:p>
    <w:p>
      <w:pPr>
        <w:pStyle w:val="FirstParagraph"/>
      </w:pPr>
      <w:r>
        <w:t xml:space="preserve">All modelling data, analysis code, result tables, figures in four formats including editable PowerPoint, and this manuscript are archived in the accompanying repository. Species range polygons (BirdLife International) and CRU TS climate surfaces are third-party licensed and are not redistributed; paths to local copies are configured in</w:t>
      </w:r>
      <w:r>
        <w:t xml:space="preserve"> </w:t>
      </w:r>
      <w:r>
        <w:rPr>
          <w:rStyle w:val="VerbatimChar"/>
        </w:rPr>
        <w:t xml:space="preserve">config.R</w:t>
      </w:r>
      <w:r>
        <w:t xml:space="preserve">. A smoke test reproduces the headline coefficients from the shipped data in approximately two minutes.</w:t>
      </w:r>
    </w:p>
    <w:p>
      <w:r>
        <w:pict>
          <v:rect style="width:0;height:1.5pt" o:hralign="center" o:hrstd="t" o:hr="t"/>
        </w:pict>
      </w:r>
    </w:p>
    <w:bookmarkEnd w:id="37"/>
    <w:bookmarkEnd w:id="38"/>
    <w:bookmarkEnd w:id="39"/>
    <w:sectPr>
      <w:footerReference w:type="default" r:id="rId9"/>
      <w:footnotePr>
        <w:numRestart w:val="eachSect"/>
      </w:footnotePr>
      <w:pgMar w:left="1440" w:right="1440" w:top="1440" w:bottom="1440"/>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b/>
      <w:color w:val="000000"/>
      <w:sz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b/>
      <w:color w:val="000000"/>
      <w:sz w:val="26"/>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b/>
      <w:color w:val="000000"/>
      <w:sz w:val="26"/>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b/>
      <w:color w:val="000000"/>
      <w:sz w:val="26"/>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b/>
      <w:i/>
      <w:iCs/>
      <w:color w:val="000000"/>
      <w:sz w:val="26"/>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b/>
      <w:color w:val="000000"/>
      <w:sz w:val="26"/>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b/>
      <w:i/>
      <w:iCs/>
      <w:color w:val="000000"/>
      <w:sz w:val="26"/>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b/>
      <w:color w:val="000000"/>
      <w:sz w:val="26"/>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b/>
      <w:i/>
      <w:iCs/>
      <w:color w:val="000000"/>
      <w:sz w:val="26"/>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2026-09-09T11:56:22Z</dcterms:created>
  <dcterms:modified xsi:type="dcterms:W3CDTF">2026-09-09T11:56:22Z</dcterms:modified>
</cp:coreProperties>
</file>

<file path=docProps/custom.xml><?xml version="1.0" encoding="utf-8"?>
<Properties xmlns="http://schemas.openxmlformats.org/officeDocument/2006/custom-properties" xmlns:vt="http://schemas.openxmlformats.org/officeDocument/2006/docPropsVTypes"/>
</file>