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upplementary-information"/>
    <w:p>
      <w:pPr>
        <w:pStyle w:val="Heading1"/>
      </w:pPr>
      <w:r>
        <w:t xml:space="preserve">Supplementary Information</w:t>
      </w:r>
    </w:p>
    <w:p>
      <w:pPr>
        <w:pStyle w:val="FirstParagraph"/>
      </w:pPr>
      <w:r>
        <w:rPr>
          <w:b/>
          <w:bCs/>
        </w:rPr>
        <w:t xml:space="preserve">Warming and survey effort contribute comparably to the generation of new bird distribution records once records are dated to discovery</w:t>
      </w:r>
    </w:p>
    <w:p>
      <w:pPr>
        <w:pStyle w:val="BodyText"/>
      </w:pPr>
      <w:r>
        <w:t xml:space="preserve">Chenchen Ding, et al.</w:t>
      </w:r>
    </w:p>
    <w:bookmarkStart w:id="17" w:name="supplementary-notes"/>
    <w:p>
      <w:pPr>
        <w:pStyle w:val="Heading2"/>
      </w:pPr>
      <w:r>
        <w:t xml:space="preserve">Supplementary Notes</w:t>
      </w:r>
    </w:p>
    <w:bookmarkStart w:id="9" w:name="X6a5d89e8826973009d983b5adb39c60673f0864"/>
    <w:p>
      <w:pPr>
        <w:pStyle w:val="Heading3"/>
      </w:pPr>
      <w:r>
        <w:t xml:space="preserve">Supplementary Note S1. Publication-lag stationarity and the 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dating conventions produce qualitatively different time series (Fig. 1b):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 The spatial and temporal pattern of the released compilation—dense in the east and south, sparse but not empty in the west, and rising roughly ninefold in annual count between 2002–2004 and 2022–2024—is summarised in Supplementary Fig. S15.</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9"/>
    <w:bookmarkStart w:id="10" w:name="Xbba124bd41f3552be1c16a4168205fbd71bf498"/>
    <w:p>
      <w:pPr>
        <w:pStyle w:val="Heading3"/>
      </w:pPr>
      <w:r>
        <w:t xml:space="preserve">Supplementary Note S2. Nature reserves: matched conditional-logistic design</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(Supplementary Fig. S12).</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(Supplementary Fig. S13).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(Supplementary Fig. S14a).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10"/>
    <w:bookmarkStart w:id="11" w:name="X72cd46b019a1b8faec3da1ec5f23cfbe1e76c38"/>
    <w:p>
      <w:pPr>
        <w:pStyle w:val="Heading3"/>
      </w:pPr>
      <w:r>
        <w:t xml:space="preserve">Supplementary Note S3. Migratory stratification</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(Supplementary Fig. S3; Supplementary Table S3).</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(Supplementary Fig. S3b).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(Supplementary Fig. S3d).</w:t>
      </w:r>
    </w:p>
    <w:bookmarkEnd w:id="11"/>
    <w:bookmarkStart w:id="12" w:name="X92040162a42e31812d4f3b7d9ec630d4a99256a"/>
    <w:p>
      <w:pPr>
        <w:pStyle w:val="Heading3"/>
      </w:pPr>
      <w:r>
        <w:t xml:space="preserve">Supplementary Note S4. Species-level and province-level companion analyses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(Supplementary Fig. S4a,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(Supplementary Fig. S4alt a, b; Supplementary Table S6).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(Supplementary Fig. S4c;</w:t>
      </w:r>
      <w:r>
        <w:t xml:space="preserve"> </w:t>
      </w:r>
      <w:r>
        <w:t xml:space="preserve">Supplementary Table S4).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(Supplementary Fig. S5a; Supplementary Table S5).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(Supplementary Fig. S5b).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(Supplementary Fig. S5c).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2"/>
    <w:bookmarkStart w:id="13" w:name="supplementary-note-s5.-robustness-detail"/>
    <w:p>
      <w:pPr>
        <w:pStyle w:val="Heading3"/>
      </w:pPr>
      <w:r>
        <w:t xml:space="preserve">Supplementary Note S5. Robustness detail</w:t>
      </w:r>
    </w:p>
    <w:p>
      <w:pPr>
        <w:pStyle w:val="FirstParagraph"/>
      </w:pPr>
      <w:r>
        <w:t xml:space="preserve">The conclusions do not depend on any freely chosen analytical decision (Fig. 6).</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(Supplementary Fig. S2).</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(Supplementary Fig. S2a).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S8)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(Supplementary Fig. S2b), and the interaction is negative throughout (0.87–1.00; Supplementary Fig. S2c).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3"/>
    <w:bookmarkStart w:id="14" w:name="Xa43285e19d16f91e07762bb6daf0e1c89439530"/>
    <w:p>
      <w:pPr>
        <w:pStyle w:val="Heading3"/>
      </w:pPr>
      <w:r>
        <w:t xml:space="preserve">Supplementary Note S6. Permutation nulls, bootstraps and model adequacy</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p>
      <w:pPr>
        <w:pStyle w:val="BodyText"/>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14"/>
    <w:bookmarkStart w:id="15" w:name="Xcc392e353c5d5094d84fd98da1857b98e4d2657"/>
    <w:p>
      <w:pPr>
        <w:pStyle w:val="Heading3"/>
      </w:pPr>
      <w:r>
        <w:t xml:space="preserve">Supplementary Note S7. Projection design and covariate support</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7b).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(Supplementary Fig. S8), consistent with the mechanistic coefficients.</w:t>
      </w:r>
    </w:p>
    <w:p>
      <w:pPr>
        <w:pStyle w:val="BodyText"/>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5"/>
    <w:bookmarkStart w:id="16" w:name="X0c41b72a8c86c973fd81680d35c6f7cc5757d37"/>
    <w:p>
      <w:pPr>
        <w:pStyle w:val="Heading3"/>
      </w:pPr>
      <w:r>
        <w:t xml:space="preserve">Supplementary Note S8. Model families, prediction scales and independent climate × effort scenarios</w:t>
      </w:r>
    </w:p>
    <w:p>
      <w:pPr>
        <w:pStyle w:val="FirstParagraph"/>
      </w:pPr>
      <w:r>
        <w:t xml:space="preserve">Treating climate and survey effort as independent scenario axes separates their leverage on future record generation (Supplementary Fig. S16). With effort frozen at its 2024 level, switching from SSP2-4.5 to SSP5-8.5 leaves the national expectation essentially unchanged (23.2 versus 23.1 first records per year in 2030; 23.6 versus 23.7 in 2050). Allowing effort to keep growing at 0.6 SD per decade—half the observed 2002–2024 pace—raises the 2050 expectation to 57–62 records per year, but only 2% of species–province cells then remain inside the fitted covariate support, against 40–44% under frozen effort. The projected record stream is therefore governed by the survey-effort scenario rather than the climate scenario, and the effort-driven increase lies almost entirely outside the range in which the model can be trusted.</w:t>
      </w:r>
    </w:p>
    <w:p>
      <w:pPr>
        <w:pStyle w:val="BodyText"/>
      </w:pPr>
      <w:r>
        <w:t xml:space="preserve">Two further tree-ensemble families fitted under identical validation designs behave like the gradient-boosted model: a random forest and XGBoost lead the mechanistic model on leave-species folds (PR-AUC 0.0120 and 0.0118 versus 0.0054) but fall behind it on temporal forward-prediction (0.0067 and 0.0072 versus 0.0098) and on leave-one-province allocation at county level (rank percentile 0.31 and 0.35 versus 0.28; Supplementary Fig. S17). The three families nevertheless agree on where the next records will fall: Spearman ρ between their 2024 prediction surfaces is 0.62–0.90 across province, prefecture and county (Supplementary Fig. S18).</w:t>
      </w:r>
    </w:p>
    <w:p>
      <w:pPr>
        <w:pStyle w:val="BodyText"/>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16"/>
    <w:bookmarkEnd w:id="17"/>
    <w:bookmarkStart w:id="26" w:name="supplementary-tables"/>
    <w:p>
      <w:pPr>
        <w:pStyle w:val="Heading2"/>
      </w:pPr>
      <w:r>
        <w:t xml:space="preserve">Supplementary Tables</w:t>
      </w:r>
    </w:p>
    <w:bookmarkStart w:id="18" w:name="X6b4bb85a6b8e3874cc8b2fc465932d1354ae1cd"/>
    <w:p>
      <w:pPr>
        <w:pStyle w:val="Heading3"/>
      </w:pPr>
      <w:r>
        <w:t xml:space="preserve">Supplementary Table S1.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Check</w:t>
            </w:r>
          </w:p>
        </w:tc>
        <w:tc>
          <w:tcPr/>
          <w:p>
            <w:pPr>
              <w:pStyle w:val="Compact"/>
              <w:spacing w:line="240" w:lineRule="auto" w:after="0"/>
            </w:pPr>
            <w:r>
              <w:rPr>
                <w:rFonts w:ascii="Times New Roman" w:hAnsi="Times New Roman"/>
                <w:sz w:val="16"/>
              </w:rPr>
              <w:t xml:space="preserve">Statistic</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Reading</w:t>
            </w:r>
          </w:p>
        </w:tc>
      </w:tr>
      <w:tr>
        <w:tc>
          <w:tcPr/>
          <w:p>
            <w:pPr>
              <w:pStyle w:val="Compact"/>
              <w:spacing w:line="240" w:lineRule="auto" w:after="0"/>
            </w:pPr>
            <w:r>
              <w:rPr>
                <w:rFonts w:ascii="Times New Roman" w:hAnsi="Times New Roman"/>
                <w:sz w:val="16"/>
              </w:rPr>
              <w:t xml:space="preserve">KS uniformity</w:t>
            </w:r>
          </w:p>
        </w:tc>
        <w:tc>
          <w:tcPr/>
          <w:p>
            <w:pPr>
              <w:pStyle w:val="Compact"/>
              <w:spacing w:line="240" w:lineRule="auto" w:after="0"/>
            </w:pPr>
            <w:r>
              <w:rPr>
                <w:rFonts w:ascii="Times New Roman" w:hAnsi="Times New Roman"/>
                <w:sz w:val="16"/>
              </w:rPr>
              <w:t xml:space="preserve">0.0016</w:t>
            </w:r>
          </w:p>
        </w:tc>
        <w:tc>
          <w:tcPr/>
          <w:p>
            <w:pPr>
              <w:pStyle w:val="Compact"/>
              <w:spacing w:line="240" w:lineRule="auto" w:after="0"/>
            </w:pPr>
            <w:r>
              <w:rPr>
                <w:rFonts w:ascii="Times New Roman" w:hAnsi="Times New Roman"/>
                <w:sz w:val="16"/>
              </w:rPr>
              <w:t xml:space="preserve">0.74</w:t>
            </w:r>
          </w:p>
        </w:tc>
        <w:tc>
          <w:tcPr/>
          <w:p>
            <w:pPr>
              <w:pStyle w:val="Compact"/>
              <w:spacing w:line="240" w:lineRule="auto" w:after="0"/>
            </w:pPr>
            <w:r>
              <w:rPr>
                <w:rFonts w:ascii="Times New Roman" w:hAnsi="Times New Roman"/>
                <w:sz w:val="16"/>
              </w:rPr>
              <w:t xml:space="preserve">calibrated</w:t>
            </w:r>
          </w:p>
        </w:tc>
      </w:tr>
      <w:tr>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sz w:val="16"/>
              </w:rPr>
              <w:t xml:space="preserve">0.947</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correct</w:t>
            </w:r>
          </w:p>
        </w:tc>
      </w:tr>
      <w:tr>
        <w:tc>
          <w:tcPr/>
          <w:p>
            <w:pPr>
              <w:pStyle w:val="Compact"/>
              <w:spacing w:line="240" w:lineRule="auto" w:after="0"/>
            </w:pPr>
            <w:r>
              <w:rPr>
                <w:rFonts w:ascii="Times New Roman" w:hAnsi="Times New Roman"/>
                <w:sz w:val="16"/>
              </w:rPr>
              <w:t xml:space="preserve">Zero inflation</w:t>
            </w:r>
          </w:p>
        </w:tc>
        <w:tc>
          <w:tcPr/>
          <w:p>
            <w:pPr>
              <w:pStyle w:val="Compact"/>
              <w:spacing w:line="240" w:lineRule="auto" w:after="0"/>
            </w:pPr>
            <w:r>
              <w:rPr>
                <w:rFonts w:ascii="Times New Roman" w:hAnsi="Times New Roman"/>
                <w:sz w:val="16"/>
              </w:rPr>
              <w:t xml:space="preserve">1.000</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none</w:t>
            </w:r>
          </w:p>
        </w:tc>
      </w:tr>
      <w:tr>
        <w:tc>
          <w:tcPr/>
          <w:p>
            <w:pPr>
              <w:pStyle w:val="Compact"/>
              <w:spacing w:line="240" w:lineRule="auto" w:after="0"/>
            </w:pPr>
            <w:r>
              <w:rPr>
                <w:rFonts w:ascii="Times New Roman" w:hAnsi="Times New Roman"/>
                <w:sz w:val="16"/>
              </w:rPr>
              <w:t xml:space="preserve">Outliers</w:t>
            </w:r>
          </w:p>
        </w:tc>
        <w:tc>
          <w:tcPr/>
          <w:p>
            <w:pPr>
              <w:pStyle w:val="Compact"/>
              <w:spacing w:line="240" w:lineRule="auto" w:after="0"/>
            </w:pPr>
            <w:r>
              <w:rPr>
                <w:rFonts w:ascii="Times New Roman" w:hAnsi="Times New Roman"/>
                <w:sz w:val="16"/>
              </w:rPr>
              <w:t xml:space="preserve">95</w:t>
            </w:r>
          </w:p>
        </w:tc>
        <w:tc>
          <w:tcPr/>
          <w:p>
            <w:pPr>
              <w:pStyle w:val="Compact"/>
              <w:spacing w:line="240" w:lineRule="auto" w:after="0"/>
            </w:pPr>
            <w:r>
              <w:rPr>
                <w:rFonts w:ascii="Times New Roman" w:hAnsi="Times New Roman"/>
                <w:sz w:val="16"/>
              </w:rPr>
              <w:t xml:space="preserve">&lt; 0.001</w:t>
            </w:r>
          </w:p>
        </w:tc>
        <w:tc>
          <w:tcPr/>
          <w:p>
            <w:pPr>
              <w:pStyle w:val="Compact"/>
              <w:spacing w:line="240" w:lineRule="auto" w:after="0"/>
            </w:pPr>
            <w:r>
              <w:rPr>
                <w:rFonts w:ascii="Times New Roman" w:hAnsi="Times New Roman"/>
                <w:sz w:val="16"/>
              </w:rPr>
              <w:t xml:space="preserve">expected at 0.37% event rate</w:t>
            </w:r>
          </w:p>
        </w:tc>
      </w:tr>
      <w:tr>
        <w:tc>
          <w:tcPr/>
          <w:p>
            <w:pPr>
              <w:pStyle w:val="Compact"/>
              <w:spacing w:line="240" w:lineRule="auto" w:after="0"/>
            </w:pPr>
            <w:r>
              <w:rPr>
                <w:rFonts w:ascii="Times New Roman" w:hAnsi="Times New Roman"/>
                <w:sz w:val="16"/>
              </w:rPr>
              <w:t xml:space="preserve">Grouped by year</w:t>
            </w:r>
          </w:p>
        </w:tc>
        <w:tc>
          <w:tcPr/>
          <w:p>
            <w:pPr>
              <w:pStyle w:val="Compact"/>
              <w:spacing w:line="240" w:lineRule="auto" w:after="0"/>
            </w:pPr>
            <w:r>
              <w:rPr>
                <w:rFonts w:ascii="Times New Roman" w:hAnsi="Times New Roman"/>
                <w:sz w:val="16"/>
              </w:rPr>
              <w:t xml:space="preserve">2 of 23 levels</w:t>
            </w:r>
          </w:p>
        </w:tc>
        <w:tc>
          <w:tcPr/>
          <w:p>
            <w:pPr>
              <w:pStyle w:val="Compact"/>
              <w:spacing w:line="240" w:lineRule="auto" w:after="0"/>
            </w:pPr>
            <w:r>
              <w:rPr>
                <w:rFonts w:ascii="Times New Roman" w:hAnsi="Times New Roman"/>
                <w:sz w:val="16"/>
              </w:rPr>
              <w:t xml:space="preserve">0.0018</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Grouped by province</w:t>
            </w:r>
          </w:p>
        </w:tc>
        <w:tc>
          <w:tcPr/>
          <w:p>
            <w:pPr>
              <w:pStyle w:val="Compact"/>
              <w:spacing w:line="240" w:lineRule="auto" w:after="0"/>
            </w:pPr>
            <w:r>
              <w:rPr>
                <w:rFonts w:ascii="Times New Roman" w:hAnsi="Times New Roman"/>
                <w:sz w:val="16"/>
              </w:rPr>
              <w:t xml:space="preserve">2 of 31 levels</w:t>
            </w:r>
          </w:p>
        </w:tc>
        <w:tc>
          <w:tcPr/>
          <w:p>
            <w:pPr>
              <w:pStyle w:val="Compact"/>
              <w:spacing w:line="240" w:lineRule="auto" w:after="0"/>
            </w:pPr>
            <w:r>
              <w:rPr>
                <w:rFonts w:ascii="Times New Roman" w:hAnsi="Times New Roman"/>
                <w:sz w:val="16"/>
              </w:rPr>
              <w:t xml:space="preserve">0.024</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p>
            <w:pPr>
              <w:pStyle w:val="Compact"/>
              <w:spacing w:line="240" w:lineRule="auto" w:after="0"/>
            </w:pPr>
            <w:r>
              <w:rPr>
                <w:rFonts w:ascii="Times New Roman" w:hAnsi="Times New Roman"/>
                <w:sz w:val="16"/>
              </w:rPr>
              <w:t xml:space="preserve">−0.038</w:t>
            </w:r>
          </w:p>
        </w:tc>
        <w:tc>
          <w:tcPr/>
          <w:p>
            <w:pPr>
              <w:pStyle w:val="Compact"/>
              <w:spacing w:line="240" w:lineRule="auto" w:after="0"/>
            </w:pPr>
            <w:r>
              <w:rPr>
                <w:rFonts w:ascii="Times New Roman" w:hAnsi="Times New Roman"/>
                <w:sz w:val="16"/>
              </w:rPr>
              <w:t xml:space="preserve">0.86</w:t>
            </w:r>
          </w:p>
        </w:tc>
        <w:tc>
          <w:tcPr/>
          <w:p>
            <w:pPr>
              <w:pStyle w:val="Compact"/>
              <w:spacing w:line="240" w:lineRule="auto" w:after="0"/>
            </w:pPr>
            <w:r>
              <w:rPr>
                <w:rFonts w:ascii="Times New Roman" w:hAnsi="Times New Roman"/>
                <w:sz w:val="16"/>
              </w:rPr>
              <w:t xml:space="preserve">no spatial structure</w:t>
            </w:r>
          </w:p>
        </w:tc>
      </w:tr>
      <w:tr>
        <w:tc>
          <w:tcPr/>
          <w:p>
            <w:pPr>
              <w:pStyle w:val="Compact"/>
              <w:spacing w:line="240" w:lineRule="auto" w:after="0"/>
            </w:pPr>
            <w:r>
              <w:rPr>
                <w:rFonts w:ascii="Times New Roman" w:hAnsi="Times New Roman"/>
                <w:sz w:val="16"/>
              </w:rPr>
              <w:t xml:space="preserve">PH: warming × time</w:t>
            </w:r>
          </w:p>
        </w:tc>
        <w:tc>
          <w:tcPr/>
          <w:p>
            <w:pPr>
              <w:pStyle w:val="Compact"/>
              <w:spacing w:line="240" w:lineRule="auto" w:after="0"/>
            </w:pPr>
            <w:r>
              <w:rPr>
                <w:rFonts w:ascii="Times New Roman" w:hAnsi="Times New Roman"/>
                <w:sz w:val="16"/>
              </w:rPr>
              <w:t xml:space="preserve">−0.022</w:t>
            </w:r>
          </w:p>
        </w:tc>
        <w:tc>
          <w:tcPr/>
          <w:p>
            <w:pPr>
              <w:pStyle w:val="Compact"/>
              <w:spacing w:line="240" w:lineRule="auto" w:after="0"/>
            </w:pPr>
            <w:r>
              <w:rPr>
                <w:rFonts w:ascii="Times New Roman" w:hAnsi="Times New Roman"/>
                <w:sz w:val="16"/>
              </w:rPr>
              <w:t xml:space="preserve">0.82</w:t>
            </w:r>
          </w:p>
        </w:tc>
        <w:tc>
          <w:tcPr/>
          <w:p>
            <w:pPr>
              <w:pStyle w:val="Compact"/>
              <w:spacing w:line="240" w:lineRule="auto" w:after="0"/>
            </w:pPr>
            <w:r>
              <w:rPr>
                <w:rFonts w:ascii="Times New Roman" w:hAnsi="Times New Roman"/>
                <w:sz w:val="16"/>
              </w:rPr>
              <w:t xml:space="preserve">assumption holds</w:t>
            </w:r>
          </w:p>
        </w:tc>
      </w:tr>
      <w:tr>
        <w:tc>
          <w:tcPr/>
          <w:p>
            <w:pPr>
              <w:pStyle w:val="Compact"/>
              <w:spacing w:line="240" w:lineRule="auto" w:after="0"/>
            </w:pPr>
            <w:r>
              <w:rPr>
                <w:rFonts w:ascii="Times New Roman" w:hAnsi="Times New Roman"/>
                <w:sz w:val="16"/>
              </w:rPr>
              <w:t xml:space="preserve">PH: effort × time</w:t>
            </w:r>
          </w:p>
        </w:tc>
        <w:tc>
          <w:tcPr/>
          <w:p>
            <w:pPr>
              <w:pStyle w:val="Compact"/>
              <w:spacing w:line="240" w:lineRule="auto" w:after="0"/>
            </w:pPr>
            <w:r>
              <w:rPr>
                <w:rFonts w:ascii="Times New Roman" w:hAnsi="Times New Roman"/>
                <w:sz w:val="16"/>
              </w:rPr>
              <w:t xml:space="preserve">−0.211</w:t>
            </w:r>
          </w:p>
        </w:tc>
        <w:tc>
          <w:tcPr/>
          <w:p>
            <w:pPr>
              <w:pStyle w:val="Compact"/>
              <w:spacing w:line="240" w:lineRule="auto" w:after="0"/>
            </w:pPr>
            <w:r>
              <w:rPr>
                <w:rFonts w:ascii="Times New Roman" w:hAnsi="Times New Roman"/>
                <w:sz w:val="16"/>
              </w:rPr>
              <w:t xml:space="preserve">7.7 × 10⁻⁴</w:t>
            </w:r>
          </w:p>
        </w:tc>
        <w:tc>
          <w:tcPr/>
          <w:p>
            <w:pPr>
              <w:pStyle w:val="Compact"/>
              <w:spacing w:line="240" w:lineRule="auto" w:after="0"/>
            </w:pPr>
            <w:r>
              <w:rPr>
                <w:rFonts w:ascii="Times New Roman" w:hAnsi="Times New Roman"/>
                <w:sz w:val="16"/>
              </w:rPr>
              <w:t xml:space="preserve">effort returns decline</w:t>
            </w:r>
          </w:p>
        </w:tc>
      </w:tr>
    </w:tbl>
    <w:bookmarkEnd w:id="18"/>
    <w:bookmarkStart w:id="19" w:name="X9e6da4cd42e6d70ee701ed47515989f43743833"/>
    <w:p>
      <w:pPr>
        <w:pStyle w:val="Heading3"/>
      </w:pPr>
      <w:r>
        <w:t xml:space="preserve">Supplementary Table S2. Ecological rationale for every model component</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Component</w:t>
            </w:r>
          </w:p>
        </w:tc>
        <w:tc>
          <w:tcPr/>
          <w:p>
            <w:pPr>
              <w:pStyle w:val="Compact"/>
              <w:spacing w:line="240" w:lineRule="auto" w:after="0"/>
            </w:pPr>
            <w:r>
              <w:rPr>
                <w:rFonts w:ascii="Times New Roman" w:hAnsi="Times New Roman"/>
                <w:sz w:val="16"/>
              </w:rPr>
              <w:t xml:space="preserve">Why it is in the model</w:t>
            </w:r>
          </w:p>
        </w:tc>
        <w:tc>
          <w:tcPr/>
          <w:p>
            <w:pPr>
              <w:pStyle w:val="Compact"/>
              <w:spacing w:line="240" w:lineRule="auto" w:after="0"/>
            </w:pPr>
            <w:r>
              <w:rPr>
                <w:rFonts w:ascii="Times New Roman" w:hAnsi="Times New Roman"/>
                <w:sz w:val="16"/>
              </w:rPr>
              <w:t xml:space="preserve">What the estimate means</w:t>
            </w:r>
          </w:p>
        </w:tc>
      </w:tr>
      <w:tr>
        <w:tc>
          <w:tcPr/>
          <w:p>
            <w:pPr>
              <w:pStyle w:val="Compact"/>
              <w:spacing w:line="240" w:lineRule="auto" w:after="0"/>
            </w:pPr>
            <w:r>
              <w:rPr>
                <w:rFonts w:ascii="Times New Roman" w:hAnsi="Times New Roman"/>
                <w:sz w:val="16"/>
              </w:rPr>
              <w:t xml:space="preserve">Response: first record only</w:t>
            </w:r>
          </w:p>
        </w:tc>
        <w:tc>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p>
            <w:pPr>
              <w:pStyle w:val="Compact"/>
              <w:spacing w:line="240" w:lineRule="auto" w:after="0"/>
            </w:pPr>
            <w:r>
              <w:rPr>
                <w:rFonts w:ascii="Times New Roman" w:hAnsi="Times New Roman"/>
                <w:sz w:val="16"/>
              </w:rPr>
              <w:t xml:space="preserve">The annual probability of crossing from undocumented to documented</w:t>
            </w:r>
          </w:p>
        </w:tc>
      </w:tr>
      <w:tr>
        <w:tc>
          <w:tcPr/>
          <w:p>
            <w:pPr>
              <w:pStyle w:val="Compact"/>
              <w:spacing w:line="240" w:lineRule="auto" w:after="0"/>
            </w:pPr>
            <w:r>
              <w:rPr>
                <w:rFonts w:ascii="Times New Roman" w:hAnsi="Times New Roman"/>
                <w:sz w:val="16"/>
              </w:rPr>
              <w:t xml:space="preserve">cloglog link</w:t>
            </w:r>
          </w:p>
        </w:tc>
        <w:tc>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p>
            <w:pPr>
              <w:pStyle w:val="Compact"/>
              <w:spacing w:line="240" w:lineRule="auto" w:after="0"/>
            </w:pPr>
            <w:r>
              <w:rPr>
                <w:rFonts w:ascii="Times New Roman" w:hAnsi="Times New Roman"/>
                <w:sz w:val="16"/>
              </w:rPr>
              <w:t xml:space="preserve">exp(β) is directly comparable with survival-analysis literature</w:t>
            </w:r>
          </w:p>
        </w:tc>
      </w:tr>
      <w:tr>
        <w:tc>
          <w:tcPr/>
          <w:p>
            <w:pPr>
              <w:pStyle w:val="Compact"/>
              <w:spacing w:line="240" w:lineRule="auto" w:after="0"/>
            </w:pPr>
            <w:r>
              <w:rPr>
                <w:rFonts w:ascii="Times New Roman" w:hAnsi="Times New Roman"/>
                <w:sz w:val="16"/>
              </w:rPr>
              <w:t xml:space="preserve">Risk set with absorbing exit</w:t>
            </w:r>
          </w:p>
        </w:tc>
        <w:tc>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p>
            <w:pPr>
              <w:pStyle w:val="Compact"/>
              <w:spacing w:line="240" w:lineRule="auto" w:after="0"/>
            </w:pPr>
            <w:r>
              <w:rPr>
                <w:rFonts w:ascii="Times New Roman" w:hAnsi="Times New Roman"/>
                <w:sz w:val="16"/>
              </w:rPr>
              <w:t xml:space="preserve">Hazard conditional on being a plausible, not-yet-recorded candidate</w:t>
            </w:r>
          </w:p>
        </w:tc>
      </w:tr>
      <w:tr>
        <w:tc>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p>
            <w:pPr>
              <w:pStyle w:val="Compact"/>
              <w:spacing w:line="240" w:lineRule="auto" w:after="0"/>
            </w:pPr>
            <w:r>
              <w:rPr>
                <w:rFonts w:ascii="Times New Roman" w:hAnsi="Times New Roman"/>
                <w:sz w:val="16"/>
              </w:rPr>
              <w:t xml:space="preserve">HR 1.362 per 0.179 °C of province-minus-range warming</w:t>
            </w:r>
          </w:p>
        </w:tc>
      </w:tr>
      <w:tr>
        <w:tc>
          <w:tcPr/>
          <w:p>
            <w:pPr>
              <w:pStyle w:val="Compact"/>
              <w:spacing w:line="240" w:lineRule="auto" w:after="0"/>
            </w:pPr>
            <w:r>
              <w:rPr>
                <w:rFonts w:ascii="Times New Roman" w:hAnsi="Times New Roman"/>
                <w:sz w:val="16"/>
              </w:rPr>
              <w:t xml:space="preserve">Annual variability</w:t>
            </w:r>
          </w:p>
        </w:tc>
        <w:tc>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p>
            <w:pPr>
              <w:pStyle w:val="Compact"/>
              <w:spacing w:line="240" w:lineRule="auto" w:after="0"/>
            </w:pPr>
            <w:r>
              <w:rPr>
                <w:rFonts w:ascii="Times New Roman" w:hAnsi="Times New Roman"/>
                <w:sz w:val="16"/>
              </w:rPr>
              <w:t xml:space="preserve">HR 0.995: weather in the discovery year adds nothing</w:t>
            </w:r>
          </w:p>
        </w:tc>
      </w:tr>
      <w:tr>
        <w:tc>
          <w:tcPr/>
          <w:p>
            <w:pPr>
              <w:pStyle w:val="Compact"/>
              <w:spacing w:line="240" w:lineRule="auto" w:after="0"/>
            </w:pPr>
            <w:r>
              <w:rPr>
                <w:rFonts w:ascii="Times New Roman" w:hAnsi="Times New Roman"/>
                <w:sz w:val="16"/>
              </w:rPr>
              <w:t xml:space="preserve">Survey effort</w:t>
            </w:r>
          </w:p>
        </w:tc>
        <w:tc>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p>
            <w:pPr>
              <w:pStyle w:val="Compact"/>
              <w:spacing w:line="240" w:lineRule="auto" w:after="0"/>
            </w:pPr>
            <w:r>
              <w:rPr>
                <w:rFonts w:ascii="Times New Roman" w:hAnsi="Times New Roman"/>
                <w:sz w:val="16"/>
              </w:rPr>
              <w:t xml:space="preserve">HR 1.404 per 1 SD; one SD multiplies annual visits by 7.75</w:t>
            </w:r>
          </w:p>
        </w:tc>
      </w:tr>
      <w:tr>
        <w:tc>
          <w:tcPr/>
          <w:p>
            <w:pPr>
              <w:pStyle w:val="Compact"/>
              <w:spacing w:line="240" w:lineRule="auto" w:after="0"/>
            </w:pPr>
            <w:r>
              <w:rPr>
                <w:rFonts w:ascii="Times New Roman" w:hAnsi="Times New Roman"/>
                <w:sz w:val="16"/>
              </w:rPr>
              <w:t xml:space="preserve">Warming × effort</w:t>
            </w:r>
          </w:p>
        </w:tc>
        <w:tc>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p>
            <w:pPr>
              <w:pStyle w:val="Compact"/>
              <w:spacing w:line="240" w:lineRule="auto" w:after="0"/>
            </w:pPr>
            <w:r>
              <w:rPr>
                <w:rFonts w:ascii="Times New Roman" w:hAnsi="Times New Roman"/>
                <w:sz w:val="16"/>
              </w:rPr>
              <w:t xml:space="preserve">HR 0.849: warming matters most where coverage is sparse</w:t>
            </w:r>
          </w:p>
        </w:tc>
      </w:tr>
      <w:tr>
        <w:tc>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p>
            <w:pPr>
              <w:pStyle w:val="Compact"/>
              <w:spacing w:line="240" w:lineRule="auto" w:after="0"/>
            </w:pPr>
            <w:r>
              <w:rPr>
                <w:rFonts w:ascii="Times New Roman" w:hAnsi="Times New Roman"/>
                <w:sz w:val="16"/>
              </w:rPr>
              <w:t xml:space="preserve">Corrects for right-censoring without consuming a degree of freedom</w:t>
            </w:r>
          </w:p>
        </w:tc>
      </w:tr>
      <w:tr>
        <w:tc>
          <w:tcPr/>
          <w:p>
            <w:pPr>
              <w:pStyle w:val="Compact"/>
              <w:spacing w:line="240" w:lineRule="auto" w:after="0"/>
            </w:pPr>
            <w:r>
              <w:rPr>
                <w:rFonts w:ascii="Times New Roman" w:hAnsi="Times New Roman"/>
                <w:sz w:val="16"/>
              </w:rPr>
              <w:t xml:space="preserve">(1|species), SD 0.405</w:t>
            </w:r>
          </w:p>
        </w:tc>
        <w:tc>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p>
            <w:pPr>
              <w:pStyle w:val="Compact"/>
              <w:spacing w:line="240" w:lineRule="auto" w:after="0"/>
            </w:pPr>
            <w:r>
              <w:rPr>
                <w:rFonts w:ascii="Times New Roman" w:hAnsi="Times New Roman"/>
                <w:sz w:val="16"/>
              </w:rPr>
              <w:t xml:space="preserve">×1.50 per SD; species span a 3.7-fold range</w:t>
            </w:r>
          </w:p>
        </w:tc>
      </w:tr>
      <w:tr>
        <w:tc>
          <w:tcPr/>
          <w:p>
            <w:pPr>
              <w:pStyle w:val="Compact"/>
              <w:spacing w:line="240" w:lineRule="auto" w:after="0"/>
            </w:pPr>
            <w:r>
              <w:rPr>
                <w:rFonts w:ascii="Times New Roman" w:hAnsi="Times New Roman"/>
                <w:sz w:val="16"/>
              </w:rPr>
              <w:t xml:space="preserve">(1|province), SD 0.326</w:t>
            </w:r>
          </w:p>
        </w:tc>
        <w:tc>
          <w:tcPr/>
          <w:p>
            <w:pPr>
              <w:pStyle w:val="Compact"/>
              <w:spacing w:line="240" w:lineRule="auto" w:after="0"/>
            </w:pPr>
            <w:r>
              <w:rPr>
                <w:rFonts w:ascii="Times New Roman" w:hAnsi="Times New Roman"/>
                <w:sz w:val="16"/>
              </w:rPr>
              <w:t xml:space="preserve">Area, terrain complexity, habitat diversity, observer population, research tradition</w:t>
            </w:r>
          </w:p>
        </w:tc>
        <w:tc>
          <w:tcPr/>
          <w:p>
            <w:pPr>
              <w:pStyle w:val="Compact"/>
              <w:spacing w:line="240" w:lineRule="auto" w:after="0"/>
            </w:pPr>
            <w:r>
              <w:rPr>
                <w:rFonts w:ascii="Times New Roman" w:hAnsi="Times New Roman"/>
                <w:sz w:val="16"/>
              </w:rPr>
              <w:t xml:space="preserve">×1.39 per SD</w:t>
            </w:r>
          </w:p>
        </w:tc>
      </w:tr>
      <w:tr>
        <w:tc>
          <w:tcPr/>
          <w:p>
            <w:pPr>
              <w:pStyle w:val="Compact"/>
              <w:spacing w:line="240" w:lineRule="auto" w:after="0"/>
            </w:pPr>
            <w:r>
              <w:rPr>
                <w:rFonts w:ascii="Times New Roman" w:hAnsi="Times New Roman"/>
                <w:sz w:val="16"/>
              </w:rPr>
              <w:t xml:space="preserve">(1|province:year), SD 0.804</w:t>
            </w:r>
          </w:p>
        </w:tc>
        <w:tc>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p>
            <w:pPr>
              <w:pStyle w:val="Compact"/>
              <w:spacing w:line="240" w:lineRule="auto" w:after="0"/>
            </w:pPr>
            <w:r>
              <w:rPr>
                <w:rFonts w:ascii="Times New Roman" w:hAnsi="Times New Roman"/>
                <w:sz w:val="16"/>
              </w:rPr>
              <w:t xml:space="preserve">×2.23 per SD, larger than either fixed effect; levels span 13-fold</w:t>
            </w:r>
          </w:p>
        </w:tc>
      </w:tr>
      <w:tr>
        <w:tc>
          <w:tcPr/>
          <w:p>
            <w:pPr>
              <w:pStyle w:val="Compact"/>
              <w:spacing w:line="240" w:lineRule="auto" w:after="0"/>
            </w:pPr>
            <w:r>
              <w:rPr>
                <w:rFonts w:ascii="Times New Roman" w:hAnsi="Times New Roman"/>
                <w:sz w:val="16"/>
              </w:rPr>
              <w:t xml:space="preserve">Baseline 1980–2000</w:t>
            </w:r>
          </w:p>
        </w:tc>
        <w:tc>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19"/>
    <w:bookmarkStart w:id="20" w:name="Xe7c7df6c89f503cc30059bb9272f55315401e03"/>
    <w:p>
      <w:pPr>
        <w:pStyle w:val="Heading3"/>
      </w:pPr>
      <w:r>
        <w:t xml:space="preserve">Supplementary Table S3. Migratory stratification</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Warming HR (95% CI)</w:t>
            </w:r>
          </w:p>
        </w:tc>
        <w:tc>
          <w:tcPr/>
          <w:p>
            <w:pPr>
              <w:pStyle w:val="Compact"/>
              <w:spacing w:line="240" w:lineRule="auto" w:after="0"/>
            </w:pPr>
            <w:r>
              <w:rPr>
                <w:rFonts w:ascii="Times New Roman" w:hAnsi="Times New Roman"/>
                <w:sz w:val="16"/>
              </w:rPr>
              <w:t xml:space="preserve">Effort HR (95% CI)</w:t>
            </w:r>
          </w:p>
        </w:tc>
        <w:tc>
          <w:tcPr/>
          <w:p>
            <w:pPr>
              <w:pStyle w:val="Compact"/>
              <w:spacing w:line="240" w:lineRule="auto" w:after="0"/>
            </w:pPr>
            <w:r>
              <w:rPr>
                <w:rFonts w:ascii="Times New Roman" w:hAnsi="Times New Roman"/>
                <w:sz w:val="16"/>
              </w:rPr>
              <w:t xml:space="preserve">Warming × effort HR</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218</w:t>
            </w:r>
          </w:p>
        </w:tc>
        <w:tc>
          <w:tcPr/>
          <w:p>
            <w:pPr>
              <w:pStyle w:val="Compact"/>
              <w:spacing w:line="240" w:lineRule="auto" w:after="0"/>
            </w:pPr>
            <w:r>
              <w:rPr>
                <w:rFonts w:ascii="Times New Roman" w:hAnsi="Times New Roman"/>
                <w:sz w:val="16"/>
              </w:rPr>
              <w:t xml:space="preserve">1.363 (1.158–1.605)</w:t>
            </w:r>
          </w:p>
        </w:tc>
        <w:tc>
          <w:tcPr/>
          <w:p>
            <w:pPr>
              <w:pStyle w:val="Compact"/>
              <w:spacing w:line="240" w:lineRule="auto" w:after="0"/>
            </w:pPr>
            <w:r>
              <w:rPr>
                <w:rFonts w:ascii="Times New Roman" w:hAnsi="Times New Roman"/>
                <w:sz w:val="16"/>
              </w:rPr>
              <w:t xml:space="preserve">1.293 (1.110–1.506)</w:t>
            </w:r>
          </w:p>
        </w:tc>
        <w:tc>
          <w:tcPr/>
          <w:p>
            <w:pPr>
              <w:pStyle w:val="Compact"/>
              <w:spacing w:line="240" w:lineRule="auto" w:after="0"/>
            </w:pPr>
            <w:r>
              <w:rPr>
                <w:rFonts w:ascii="Times New Roman" w:hAnsi="Times New Roman"/>
                <w:sz w:val="16"/>
              </w:rPr>
              <w:t xml:space="preserve">0.942</w:t>
            </w:r>
          </w:p>
        </w:tc>
        <w:tc>
          <w:tcPr/>
          <w:p>
            <w:pPr>
              <w:pStyle w:val="Compact"/>
              <w:spacing w:line="240" w:lineRule="auto" w:after="0"/>
            </w:pPr>
            <w:r>
              <w:rPr>
                <w:rFonts w:ascii="Times New Roman" w:hAnsi="Times New Roman"/>
                <w:sz w:val="16"/>
              </w:rPr>
              <w:t xml:space="preserve">0.54</w:t>
            </w:r>
          </w:p>
        </w:tc>
      </w:tr>
      <w:tr>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156</w:t>
            </w:r>
          </w:p>
        </w:tc>
        <w:tc>
          <w:tcPr/>
          <w:p>
            <w:pPr>
              <w:pStyle w:val="Compact"/>
              <w:spacing w:line="240" w:lineRule="auto" w:after="0"/>
            </w:pPr>
            <w:r>
              <w:rPr>
                <w:rFonts w:ascii="Times New Roman" w:hAnsi="Times New Roman"/>
                <w:sz w:val="16"/>
              </w:rPr>
              <w:t xml:space="preserve">1.507 (1.244–1.826)</w:t>
            </w:r>
          </w:p>
        </w:tc>
        <w:tc>
          <w:tcPr/>
          <w:p>
            <w:pPr>
              <w:pStyle w:val="Compact"/>
              <w:spacing w:line="240" w:lineRule="auto" w:after="0"/>
            </w:pPr>
            <w:r>
              <w:rPr>
                <w:rFonts w:ascii="Times New Roman" w:hAnsi="Times New Roman"/>
                <w:sz w:val="16"/>
              </w:rPr>
              <w:t xml:space="preserve">1.270 (1.030–1.566)</w:t>
            </w:r>
          </w:p>
        </w:tc>
        <w:tc>
          <w:tcPr/>
          <w:p>
            <w:pPr>
              <w:pStyle w:val="Compact"/>
              <w:spacing w:line="240" w:lineRule="auto" w:after="0"/>
            </w:pPr>
            <w:r>
              <w:rPr>
                <w:rFonts w:ascii="Times New Roman" w:hAnsi="Times New Roman"/>
                <w:sz w:val="16"/>
              </w:rPr>
              <w:t xml:space="preserve">1.053</w:t>
            </w:r>
          </w:p>
        </w:tc>
        <w:tc>
          <w:tcPr/>
          <w:p>
            <w:pPr>
              <w:pStyle w:val="Compact"/>
              <w:spacing w:line="240" w:lineRule="auto" w:after="0"/>
            </w:pPr>
            <w:r>
              <w:rPr>
                <w:rFonts w:ascii="Times New Roman" w:hAnsi="Times New Roman"/>
                <w:sz w:val="16"/>
              </w:rPr>
              <w:t xml:space="preserve">0.62</w:t>
            </w:r>
          </w:p>
        </w:tc>
      </w:tr>
      <w:tr>
        <w:tc>
          <w:tcPr/>
          <w:p>
            <w:pPr>
              <w:pStyle w:val="Compact"/>
              <w:spacing w:line="240" w:lineRule="auto" w:after="0"/>
            </w:pPr>
            <w:r>
              <w:rPr>
                <w:rFonts w:ascii="Times New Roman" w:hAnsi="Times New Roman"/>
                <w:sz w:val="16"/>
              </w:rPr>
              <w:t xml:space="preserve">Long-distance migrant</w:t>
            </w:r>
          </w:p>
        </w:tc>
        <w:tc>
          <w:tcPr/>
          <w:p>
            <w:pPr>
              <w:pStyle w:val="Compact"/>
              <w:spacing w:line="240" w:lineRule="auto" w:after="0"/>
            </w:pPr>
            <w:r>
              <w:rPr>
                <w:rFonts w:ascii="Times New Roman" w:hAnsi="Times New Roman"/>
                <w:sz w:val="16"/>
              </w:rPr>
              <w:t xml:space="preserve">175</w:t>
            </w:r>
          </w:p>
        </w:tc>
        <w:tc>
          <w:tcPr/>
          <w:p>
            <w:pPr>
              <w:pStyle w:val="Compact"/>
              <w:spacing w:line="240" w:lineRule="auto" w:after="0"/>
            </w:pPr>
            <w:r>
              <w:rPr>
                <w:rFonts w:ascii="Times New Roman" w:hAnsi="Times New Roman"/>
                <w:sz w:val="16"/>
              </w:rPr>
              <w:t xml:space="preserve">1.514 (1.265–1.812)</w:t>
            </w:r>
          </w:p>
        </w:tc>
        <w:tc>
          <w:tcPr/>
          <w:p>
            <w:pPr>
              <w:pStyle w:val="Compact"/>
              <w:spacing w:line="240" w:lineRule="auto" w:after="0"/>
            </w:pPr>
            <w:r>
              <w:rPr>
                <w:rFonts w:ascii="Times New Roman" w:hAnsi="Times New Roman"/>
                <w:sz w:val="16"/>
              </w:rPr>
              <w:t xml:space="preserve">1.344 (1.130–1.598)</w:t>
            </w:r>
          </w:p>
        </w:tc>
        <w:tc>
          <w:tcPr/>
          <w:p>
            <w:pPr>
              <w:pStyle w:val="Compact"/>
              <w:spacing w:line="240" w:lineRule="auto" w:after="0"/>
            </w:pPr>
            <w:r>
              <w:rPr>
                <w:rFonts w:ascii="Times New Roman" w:hAnsi="Times New Roman"/>
                <w:sz w:val="16"/>
              </w:rPr>
              <w:t xml:space="preserve">0.753</w:t>
            </w:r>
          </w:p>
        </w:tc>
        <w:tc>
          <w:tcPr/>
          <w:p>
            <w:pPr>
              <w:pStyle w:val="Compact"/>
              <w:spacing w:line="240" w:lineRule="auto" w:after="0"/>
            </w:pPr>
            <w:r>
              <w:rPr>
                <w:rFonts w:ascii="Times New Roman" w:hAnsi="Times New Roman"/>
                <w:sz w:val="16"/>
              </w:rPr>
              <w:t xml:space="preserve">0.0022</w:t>
            </w:r>
          </w:p>
        </w:tc>
      </w:tr>
      <w:tr>
        <w:tc>
          <w:tcPr/>
          <w:p>
            <w:pPr>
              <w:pStyle w:val="Compact"/>
              <w:spacing w:line="240" w:lineRule="auto" w:after="0"/>
            </w:pPr>
            <w:r>
              <w:rPr>
                <w:rFonts w:ascii="Times New Roman" w:hAnsi="Times New Roman"/>
                <w:i/>
                <w:iCs/>
                <w:sz w:val="16"/>
              </w:rPr>
              <w:t xml:space="preserve">Moderation tests</w:t>
            </w:r>
          </w:p>
        </w:tc>
        <w:tc>
          <w:tcPr/>
          <w:p>
            <w:pPr>
              <w:pStyle w:val="Compact"/>
              <w:spacing w:line="240" w:lineRule="auto" w:after="0"/>
            </w:pP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0.693</w:t>
            </w: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0.854</w:t>
            </w:r>
          </w:p>
        </w:tc>
        <w:tc>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0.256</w:t>
            </w:r>
          </w:p>
        </w:tc>
        <w:tc>
          <w:tcPr/>
          <w:p>
            <w:pPr>
              <w:pStyle w:val="Compact"/>
              <w:spacing w:line="240" w:lineRule="auto" w:after="0"/>
            </w:pPr>
          </w:p>
        </w:tc>
      </w:tr>
    </w:tbl>
    <w:bookmarkEnd w:id="20"/>
    <w:bookmarkStart w:id="21" w:name="Xe6025b7c3b2a8a5675e776de32f5473749482c5"/>
    <w:p>
      <w:pPr>
        <w:pStyle w:val="Heading3"/>
      </w:pPr>
      <w:r>
        <w:t xml:space="preserve">Supplementary Table S4. Species-level range measures</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Measure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Species with a record</w:t>
            </w:r>
          </w:p>
        </w:tc>
        <w:tc>
          <w:tcPr/>
          <w:p>
            <w:pPr>
              <w:pStyle w:val="Compact"/>
              <w:spacing w:line="240" w:lineRule="auto" w:after="0"/>
            </w:pPr>
            <w:r>
              <w:rPr>
                <w:rFonts w:ascii="Times New Roman" w:hAnsi="Times New Roman"/>
                <w:sz w:val="16"/>
              </w:rPr>
              <w:t xml:space="preserve">OR per SD (95% CI)</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Global range area (AVONET)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1.456 (1.204–1.762)</w:t>
            </w:r>
          </w:p>
        </w:tc>
        <w:tc>
          <w:tcPr/>
          <w:p>
            <w:pPr>
              <w:pStyle w:val="Compact"/>
              <w:spacing w:line="240" w:lineRule="auto" w:after="0"/>
            </w:pPr>
            <w:r>
              <w:rPr>
                <w:rFonts w:ascii="Times New Roman" w:hAnsi="Times New Roman"/>
                <w:sz w:val="16"/>
              </w:rPr>
              <w:t xml:space="preserve">1.1 × 10⁻⁴</w:t>
            </w:r>
          </w:p>
        </w:tc>
      </w:tr>
      <w:tr>
        <w:tc>
          <w:tcPr/>
          <w:p>
            <w:pPr>
              <w:pStyle w:val="Compact"/>
              <w:spacing w:line="240" w:lineRule="auto" w:after="0"/>
            </w:pPr>
            <w:r>
              <w:rPr>
                <w:rFonts w:ascii="Times New Roman" w:hAnsi="Times New Roman"/>
                <w:sz w:val="16"/>
              </w:rPr>
              <w:t xml:space="preserve">China range area (BirdLife, clipped)</w:t>
            </w:r>
          </w:p>
        </w:tc>
        <w:tc>
          <w:tcPr/>
          <w:p>
            <w:pPr>
              <w:pStyle w:val="Compact"/>
              <w:spacing w:line="240" w:lineRule="auto" w:after="0"/>
            </w:pPr>
            <w:r>
              <w:rPr>
                <w:rFonts w:ascii="Times New Roman" w:hAnsi="Times New Roman"/>
                <w:sz w:val="16"/>
              </w:rPr>
              <w:t xml:space="preserve">1,003</w:t>
            </w:r>
          </w:p>
        </w:tc>
        <w:tc>
          <w:tcPr/>
          <w:p>
            <w:pPr>
              <w:pStyle w:val="Compact"/>
              <w:spacing w:line="240" w:lineRule="auto" w:after="0"/>
            </w:pPr>
            <w:r>
              <w:rPr>
                <w:rFonts w:ascii="Times New Roman" w:hAnsi="Times New Roman"/>
                <w:sz w:val="16"/>
              </w:rPr>
              <w:t xml:space="preserve">312</w:t>
            </w:r>
          </w:p>
        </w:tc>
        <w:tc>
          <w:tcPr/>
          <w:p>
            <w:pPr>
              <w:pStyle w:val="Compact"/>
              <w:spacing w:line="240" w:lineRule="auto" w:after="0"/>
            </w:pPr>
            <w:r>
              <w:rPr>
                <w:rFonts w:ascii="Times New Roman" w:hAnsi="Times New Roman"/>
                <w:sz w:val="16"/>
              </w:rPr>
              <w:t xml:space="preserve">1.653 (1.420–1.925)</w:t>
            </w:r>
          </w:p>
        </w:tc>
        <w:tc>
          <w:tcPr/>
          <w:p>
            <w:pPr>
              <w:pStyle w:val="Compact"/>
              <w:spacing w:line="240" w:lineRule="auto" w:after="0"/>
            </w:pPr>
            <w:r>
              <w:rPr>
                <w:rFonts w:ascii="Times New Roman" w:hAnsi="Times New Roman"/>
                <w:sz w:val="16"/>
              </w:rPr>
              <w:t xml:space="preserve">9.0 × 10⁻¹¹</w:t>
            </w:r>
          </w:p>
        </w:tc>
      </w:tr>
      <w:tr>
        <w:tc>
          <w:tcPr/>
          <w:p>
            <w:pPr>
              <w:pStyle w:val="Compact"/>
              <w:spacing w:line="240" w:lineRule="auto" w:after="0"/>
            </w:pPr>
            <w:r>
              <w:rPr>
                <w:rFonts w:ascii="Times New Roman" w:hAnsi="Times New Roman"/>
                <w:sz w:val="16"/>
              </w:rPr>
              <w:t xml:space="preserve">Provinces occupied —</w:t>
            </w:r>
            <w:r>
              <w:rPr>
                <w:rFonts w:ascii="Times New Roman" w:hAnsi="Times New Roman"/>
                <w:sz w:val="16"/>
              </w:rPr>
              <w:t xml:space="preserve"> </w:t>
            </w:r>
            <w:r>
              <w:rPr>
                <w:rFonts w:ascii="Times New Roman" w:hAnsi="Times New Roman"/>
                <w:i/>
                <w:iCs/>
                <w:sz w:val="16"/>
              </w:rPr>
              <w:t xml:space="preserve">not reported as a result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2.09</w:t>
            </w:r>
          </w:p>
        </w:tc>
        <w:tc>
          <w:tcPr/>
          <w:p>
            <w:pPr>
              <w:pStyle w:val="Compact"/>
              <w:spacing w:line="240" w:lineRule="auto" w:after="0"/>
            </w:pPr>
            <w:r>
              <w:rPr>
                <w:rFonts w:ascii="Times New Roman" w:hAnsi="Times New Roman"/>
                <w:sz w:val="16"/>
              </w:rPr>
              <w:t xml:space="preserve">5 × 10⁻¹⁵</w:t>
            </w:r>
          </w:p>
        </w:tc>
      </w:tr>
    </w:tbl>
    <w:bookmarkEnd w:id="21"/>
    <w:bookmarkStart w:id="22" w:name="X3b4f64cecc21e5b3fe2d2015a0daa07643579a5"/>
    <w:p>
      <w:pPr>
        <w:pStyle w:val="Heading3"/>
      </w:pPr>
      <w:r>
        <w:t xml:space="preserve">Supplementary Table S5. Province-level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Model</w:t>
            </w:r>
          </w:p>
        </w:tc>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AICc</w:t>
            </w:r>
          </w:p>
        </w:tc>
      </w:tr>
      <w:tr>
        <w:tc>
          <w:tcPr/>
          <w:p>
            <w:pPr>
              <w:pStyle w:val="Compact"/>
              <w:spacing w:line="240" w:lineRule="auto" w:after="0"/>
            </w:pPr>
            <w:r>
              <w:rPr>
                <w:rFonts w:ascii="Times New Roman" w:hAnsi="Times New Roman"/>
                <w:sz w:val="16"/>
              </w:rPr>
              <w:t xml:space="preserve">Poisson</w:t>
            </w:r>
          </w:p>
        </w:tc>
        <w:tc>
          <w:tcPr/>
          <w:p>
            <w:pPr>
              <w:pStyle w:val="Compact"/>
              <w:spacing w:line="240" w:lineRule="auto" w:after="0"/>
            </w:pPr>
            <w:r>
              <w:rPr>
                <w:rFonts w:ascii="Times New Roman" w:hAnsi="Times New Roman"/>
                <w:sz w:val="16"/>
              </w:rPr>
              <w:t xml:space="preserve">5.60</w:t>
            </w:r>
          </w:p>
        </w:tc>
        <w:tc>
          <w:tcPr/>
          <w:p>
            <w:pPr>
              <w:pStyle w:val="Compact"/>
              <w:spacing w:line="240" w:lineRule="auto" w:after="0"/>
            </w:pPr>
            <w:r>
              <w:rPr>
                <w:rFonts w:ascii="Times New Roman" w:hAnsi="Times New Roman"/>
                <w:sz w:val="16"/>
              </w:rPr>
              <w:t xml:space="preserve">2.3 × 10⁻¹⁷</w:t>
            </w:r>
          </w:p>
        </w:tc>
        <w:tc>
          <w:tcPr/>
          <w:p>
            <w:pPr>
              <w:pStyle w:val="Compact"/>
              <w:spacing w:line="240" w:lineRule="auto" w:after="0"/>
            </w:pPr>
            <w:r>
              <w:rPr>
                <w:rFonts w:ascii="Times New Roman" w:hAnsi="Times New Roman"/>
                <w:sz w:val="16"/>
              </w:rPr>
              <w:t xml:space="preserve">302.2</w:t>
            </w:r>
          </w:p>
        </w:tc>
      </w:tr>
      <w:tr>
        <w:tc>
          <w:tcPr/>
          <w:p>
            <w:pPr>
              <w:pStyle w:val="Compact"/>
              <w:spacing w:line="240" w:lineRule="auto" w:after="0"/>
            </w:pPr>
            <w:r>
              <w:rPr>
                <w:rFonts w:ascii="Times New Roman" w:hAnsi="Times New Roman"/>
                <w:sz w:val="16"/>
              </w:rPr>
              <w:t xml:space="preserve">Negative binomial</w:t>
            </w:r>
          </w:p>
        </w:tc>
        <w:tc>
          <w:tcPr/>
          <w:p>
            <w:pPr>
              <w:pStyle w:val="Compact"/>
              <w:spacing w:line="240" w:lineRule="auto" w:after="0"/>
            </w:pPr>
            <w:r>
              <w:rPr>
                <w:rFonts w:ascii="Times New Roman" w:hAnsi="Times New Roman"/>
                <w:sz w:val="16"/>
              </w:rPr>
              <w:t xml:space="preserve">1.24</w:t>
            </w:r>
          </w:p>
        </w:tc>
        <w:tc>
          <w:tcPr/>
          <w:p>
            <w:pPr>
              <w:pStyle w:val="Compact"/>
              <w:spacing w:line="240" w:lineRule="auto" w:after="0"/>
            </w:pPr>
            <w:r>
              <w:rPr>
                <w:rFonts w:ascii="Times New Roman" w:hAnsi="Times New Roman"/>
                <w:sz w:val="16"/>
              </w:rPr>
              <w:t xml:space="preserve">0.20</w:t>
            </w:r>
          </w:p>
        </w:tc>
        <w:tc>
          <w:tcPr/>
          <w:p>
            <w:pPr>
              <w:pStyle w:val="Compact"/>
              <w:spacing w:line="240" w:lineRule="auto" w:after="0"/>
            </w:pPr>
            <w:r>
              <w:rPr>
                <w:rFonts w:ascii="Times New Roman" w:hAnsi="Times New Roman"/>
                <w:sz w:val="16"/>
              </w:rPr>
              <w:t xml:space="preserve">246.5</w:t>
            </w:r>
          </w:p>
        </w:tc>
      </w:tr>
      <w:tr>
        <w:tc>
          <w:tcPr/>
          <w:p>
            <w:pPr>
              <w:pStyle w:val="Compact"/>
              <w:spacing w:line="240" w:lineRule="auto" w:after="0"/>
            </w:pPr>
            <w:r>
              <w:rPr>
                <w:rFonts w:ascii="Times New Roman" w:hAnsi="Times New Roman"/>
                <w:sz w:val="16"/>
              </w:rPr>
              <w:t xml:space="preserve">Negative binomial, recent effort as offset</w:t>
            </w:r>
          </w:p>
        </w:tc>
        <w:tc>
          <w:tcPr/>
          <w:p>
            <w:pPr>
              <w:pStyle w:val="Compact"/>
              <w:spacing w:line="240" w:lineRule="auto" w:after="0"/>
            </w:pPr>
            <w:r>
              <w:rPr>
                <w:rFonts w:ascii="Times New Roman" w:hAnsi="Times New Roman"/>
                <w:sz w:val="16"/>
              </w:rPr>
              <w:t xml:space="preserve">1.52</w:t>
            </w:r>
          </w:p>
        </w:tc>
        <w:tc>
          <w:tcPr/>
          <w:p>
            <w:pPr>
              <w:pStyle w:val="Compact"/>
              <w:spacing w:line="240" w:lineRule="auto" w:after="0"/>
            </w:pP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266.8</w:t>
            </w:r>
          </w:p>
        </w:tc>
      </w:tr>
    </w:tbl>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Term</w:t>
            </w:r>
          </w:p>
        </w:tc>
        <w:tc>
          <w:tcPr/>
          <w:p>
            <w:pPr>
              <w:pStyle w:val="Compact"/>
              <w:spacing w:line="240" w:lineRule="auto" w:after="0"/>
            </w:pPr>
            <w:r>
              <w:rPr>
                <w:rFonts w:ascii="Times New Roman" w:hAnsi="Times New Roman"/>
                <w:sz w:val="16"/>
              </w:rPr>
              <w:t xml:space="preserve">Counts, IRR</w:t>
            </w:r>
          </w:p>
        </w:tc>
        <w:tc>
          <w:tcPr/>
          <w:p>
            <w:pPr>
              <w:pStyle w:val="Compact"/>
              <w:spacing w:line="240" w:lineRule="auto" w:after="0"/>
            </w:pPr>
            <w:r>
              <w:rPr>
                <w:rFonts w:ascii="Times New Roman" w:hAnsi="Times New Roman"/>
                <w:sz w:val="16"/>
              </w:rPr>
              <w:t xml:space="preserve">Rate per unit of effort, IRR</w:t>
            </w:r>
          </w:p>
        </w:tc>
      </w:tr>
      <w:tr>
        <w:tc>
          <w:tcPr/>
          <w:p>
            <w:pPr>
              <w:pStyle w:val="Compact"/>
              <w:spacing w:line="240" w:lineRule="auto" w:after="0"/>
            </w:pPr>
            <w:r>
              <w:rPr>
                <w:rFonts w:ascii="Times New Roman" w:hAnsi="Times New Roman"/>
                <w:sz w:val="16"/>
              </w:rPr>
              <w:t xml:space="preserve">Regional species richness</w:t>
            </w:r>
          </w:p>
        </w:tc>
        <w:tc>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0.036)</w:t>
            </w:r>
          </w:p>
        </w:tc>
        <w:tc>
          <w:tcPr/>
          <w:p>
            <w:pPr>
              <w:pStyle w:val="Compact"/>
              <w:spacing w:line="240" w:lineRule="auto" w:after="0"/>
            </w:pPr>
            <w:r>
              <w:rPr>
                <w:rFonts w:ascii="Times New Roman" w:hAnsi="Times New Roman"/>
                <w:sz w:val="16"/>
              </w:rPr>
              <w:t xml:space="preserve">0.89</w:t>
            </w:r>
          </w:p>
        </w:tc>
      </w:tr>
      <w:tr>
        <w:tc>
          <w:tcPr/>
          <w:p>
            <w:pPr>
              <w:pStyle w:val="Compact"/>
              <w:spacing w:line="240" w:lineRule="auto" w:after="0"/>
            </w:pPr>
            <w:r>
              <w:rPr>
                <w:rFonts w:ascii="Times New Roman" w:hAnsi="Times New Roman"/>
                <w:sz w:val="16"/>
              </w:rPr>
              <w:t xml:space="preserve">Early survey effort (2002–2008)</w:t>
            </w:r>
          </w:p>
        </w:tc>
        <w:tc>
          <w:tcPr/>
          <w:p>
            <w:pPr>
              <w:pStyle w:val="Compact"/>
              <w:spacing w:line="240" w:lineRule="auto" w:after="0"/>
            </w:pPr>
            <w:r>
              <w:rPr>
                <w:rFonts w:ascii="Times New Roman" w:hAnsi="Times New Roman"/>
                <w:sz w:val="16"/>
              </w:rPr>
              <w:t xml:space="preserve">0.92</w:t>
            </w:r>
          </w:p>
        </w:tc>
        <w:tc>
          <w:tcPr/>
          <w:p>
            <w:pPr>
              <w:pStyle w:val="Compact"/>
              <w:spacing w:line="240" w:lineRule="auto" w:after="0"/>
            </w:pPr>
            <w:r>
              <w:rPr>
                <w:rFonts w:ascii="Times New Roman" w:hAnsi="Times New Roman"/>
                <w:b/>
                <w:bCs/>
                <w:sz w:val="16"/>
              </w:rPr>
              <w:t xml:space="preserve">0.71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0.028)</w:t>
            </w:r>
          </w:p>
        </w:tc>
      </w:tr>
      <w:tr>
        <w:tc>
          <w:tcPr/>
          <w:p>
            <w:pPr>
              <w:pStyle w:val="Compact"/>
              <w:spacing w:line="240" w:lineRule="auto" w:after="0"/>
            </w:pPr>
            <w:r>
              <w:rPr>
                <w:rFonts w:ascii="Times New Roman" w:hAnsi="Times New Roman"/>
                <w:sz w:val="16"/>
              </w:rPr>
              <w:t xml:space="preserve">Recent survey effort (2009–2024)</w:t>
            </w:r>
          </w:p>
        </w:tc>
        <w:tc>
          <w:tcPr/>
          <w:p>
            <w:pPr>
              <w:pStyle w:val="Compact"/>
              <w:spacing w:line="240" w:lineRule="auto" w:after="0"/>
            </w:pPr>
            <w:r>
              <w:rPr>
                <w:rFonts w:ascii="Times New Roman" w:hAnsi="Times New Roman"/>
                <w:sz w:val="16"/>
              </w:rPr>
              <w:t xml:space="preserve">0.93</w:t>
            </w:r>
          </w:p>
        </w:tc>
        <w:tc>
          <w:tcPr/>
          <w:p>
            <w:pPr>
              <w:pStyle w:val="Compact"/>
              <w:spacing w:line="240" w:lineRule="auto" w:after="0"/>
            </w:pPr>
            <w:r>
              <w:rPr>
                <w:rFonts w:ascii="Times New Roman" w:hAnsi="Times New Roman"/>
                <w:i/>
                <w:iCs/>
                <w:sz w:val="16"/>
              </w:rPr>
              <w:t xml:space="preserve">offset</w:t>
            </w:r>
          </w:p>
        </w:tc>
      </w:tr>
      <w:tr>
        <w:tc>
          <w:tcPr/>
          <w:p>
            <w:pPr>
              <w:pStyle w:val="Compact"/>
              <w:spacing w:line="240" w:lineRule="auto" w:after="0"/>
            </w:pPr>
            <w:r>
              <w:rPr>
                <w:rFonts w:ascii="Times New Roman" w:hAnsi="Times New Roman"/>
                <w:sz w:val="16"/>
              </w:rPr>
              <w:t xml:space="preserve">GDP per capita</w:t>
            </w:r>
          </w:p>
        </w:tc>
        <w:tc>
          <w:tcPr/>
          <w:p>
            <w:pPr>
              <w:pStyle w:val="Compact"/>
              <w:spacing w:line="240" w:lineRule="auto" w:after="0"/>
            </w:pPr>
            <w:r>
              <w:rPr>
                <w:rFonts w:ascii="Times New Roman" w:hAnsi="Times New Roman"/>
                <w:sz w:val="16"/>
              </w:rPr>
              <w:t xml:space="preserve">1.10</w:t>
            </w:r>
          </w:p>
        </w:tc>
        <w:tc>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0.0027)</w:t>
            </w:r>
          </w:p>
        </w:tc>
      </w:tr>
      <w:tr>
        <w:tc>
          <w:tcPr/>
          <w:p>
            <w:pPr>
              <w:pStyle w:val="Compact"/>
              <w:spacing w:line="240" w:lineRule="auto" w:after="0"/>
            </w:pPr>
            <w:r>
              <w:rPr>
                <w:rFonts w:ascii="Times New Roman" w:hAnsi="Times New Roman"/>
                <w:sz w:val="16"/>
              </w:rPr>
              <w:t xml:space="preserve">Administrative area</w:t>
            </w:r>
          </w:p>
        </w:tc>
        <w:tc>
          <w:tcPr/>
          <w:p>
            <w:pPr>
              <w:pStyle w:val="Compact"/>
              <w:spacing w:line="240" w:lineRule="auto" w:after="0"/>
            </w:pPr>
            <w:r>
              <w:rPr>
                <w:rFonts w:ascii="Times New Roman" w:hAnsi="Times New Roman"/>
                <w:sz w:val="16"/>
              </w:rPr>
              <w:t xml:space="preserve">1.17</w:t>
            </w:r>
          </w:p>
        </w:tc>
        <w:tc>
          <w:tcPr/>
          <w:p>
            <w:pPr>
              <w:pStyle w:val="Compact"/>
              <w:spacing w:line="240" w:lineRule="auto" w:after="0"/>
            </w:pPr>
            <w:r>
              <w:rPr>
                <w:rFonts w:ascii="Times New Roman" w:hAnsi="Times New Roman"/>
                <w:sz w:val="16"/>
              </w:rPr>
              <w:t xml:space="preserve">1.20</w:t>
            </w:r>
          </w:p>
        </w:tc>
      </w:tr>
      <w:tr>
        <w:tc>
          <w:tcPr/>
          <w:p>
            <w:pPr>
              <w:pStyle w:val="Compact"/>
              <w:spacing w:line="240" w:lineRule="auto" w:after="0"/>
            </w:pPr>
            <w:r>
              <w:rPr>
                <w:rFonts w:ascii="Times New Roman" w:hAnsi="Times New Roman"/>
                <w:sz w:val="16"/>
              </w:rPr>
              <w:t xml:space="preserve">Habitat heterogeneity</w:t>
            </w:r>
          </w:p>
        </w:tc>
        <w:tc>
          <w:tcPr/>
          <w:p>
            <w:pPr>
              <w:pStyle w:val="Compact"/>
              <w:spacing w:line="240" w:lineRule="auto" w:after="0"/>
            </w:pPr>
            <w:r>
              <w:rPr>
                <w:rFonts w:ascii="Times New Roman" w:hAnsi="Times New Roman"/>
                <w:sz w:val="16"/>
              </w:rPr>
              <w:t xml:space="preserve">0.99</w:t>
            </w:r>
          </w:p>
        </w:tc>
        <w:tc>
          <w:tcPr/>
          <w:p>
            <w:pPr>
              <w:pStyle w:val="Compact"/>
              <w:spacing w:line="240" w:lineRule="auto" w:after="0"/>
            </w:pPr>
            <w:r>
              <w:rPr>
                <w:rFonts w:ascii="Times New Roman" w:hAnsi="Times New Roman"/>
                <w:sz w:val="16"/>
              </w:rPr>
              <w:t xml:space="preserve">1.03</w:t>
            </w:r>
          </w:p>
        </w:tc>
      </w:tr>
    </w:tbl>
    <w:bookmarkEnd w:id="22"/>
    <w:bookmarkStart w:id="23" w:name="Xe909a46294cb32873314eb4289e639d2f9fcf7f"/>
    <w:p>
      <w:pPr>
        <w:pStyle w:val="Heading3"/>
      </w:pPr>
      <w:r>
        <w:t xml:space="preserve">Supplementary Table S6. Species-level effects within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Grouping</w:t>
            </w:r>
          </w:p>
        </w:tc>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i/>
                <w:iCs/>
                <w:sz w:val="16"/>
              </w:rPr>
              <w:t xml:space="preserve">n</w:t>
            </w:r>
            <w:r>
              <w:rPr>
                <w:rFonts w:ascii="Times New Roman" w:hAnsi="Times New Roman"/>
                <w:sz w:val="16"/>
              </w:rPr>
              <w:t xml:space="preserve"> </w:t>
            </w: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With records</w:t>
            </w:r>
          </w:p>
        </w:tc>
        <w:tc>
          <w:tcPr/>
          <w:p>
            <w:pPr>
              <w:pStyle w:val="Compact"/>
              <w:spacing w:line="240" w:lineRule="auto" w:after="0"/>
            </w:pPr>
            <w:r>
              <w:rPr>
                <w:rFonts w:ascii="Times New Roman" w:hAnsi="Times New Roman"/>
                <w:sz w:val="16"/>
              </w:rPr>
              <w:t xml:space="preserve">Significant terms (OR,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w:t>
            </w:r>
          </w:p>
        </w:tc>
      </w:tr>
      <w:tr>
        <w:tc>
          <w:tcPr/>
          <w:p>
            <w:pPr>
              <w:pStyle w:val="Compact"/>
              <w:spacing w:line="240" w:lineRule="auto" w:after="0"/>
            </w:pPr>
            <w:r>
              <w:rPr>
                <w:rFonts w:ascii="Times New Roman" w:hAnsi="Times New Roman"/>
                <w:sz w:val="16"/>
              </w:rPr>
              <w:t xml:space="preserve">Taxonomic</w:t>
            </w:r>
          </w:p>
        </w:tc>
        <w:tc>
          <w:tcPr/>
          <w:p>
            <w:pPr>
              <w:pStyle w:val="Compact"/>
              <w:spacing w:line="240" w:lineRule="auto" w:after="0"/>
            </w:pPr>
            <w:r>
              <w:rPr>
                <w:rFonts w:ascii="Times New Roman" w:hAnsi="Times New Roman"/>
                <w:sz w:val="16"/>
              </w:rPr>
              <w:t xml:space="preserve">Passeriformes</w:t>
            </w:r>
          </w:p>
        </w:tc>
        <w:tc>
          <w:tcPr/>
          <w:p>
            <w:pPr>
              <w:pStyle w:val="Compact"/>
              <w:spacing w:line="240" w:lineRule="auto" w:after="0"/>
            </w:pPr>
            <w:r>
              <w:rPr>
                <w:rFonts w:ascii="Times New Roman" w:hAnsi="Times New Roman"/>
                <w:sz w:val="16"/>
              </w:rPr>
              <w:t xml:space="preserve">710</w:t>
            </w:r>
          </w:p>
        </w:tc>
        <w:tc>
          <w:tcPr/>
          <w:p>
            <w:pPr>
              <w:pStyle w:val="Compact"/>
              <w:spacing w:line="240" w:lineRule="auto" w:after="0"/>
            </w:pPr>
            <w:r>
              <w:rPr>
                <w:rFonts w:ascii="Times New Roman" w:hAnsi="Times New Roman"/>
                <w:sz w:val="16"/>
              </w:rPr>
              <w:t xml:space="preserve">203</w:t>
            </w:r>
          </w:p>
        </w:tc>
        <w:tc>
          <w:tcPr/>
          <w:p>
            <w:pPr>
              <w:pStyle w:val="Compact"/>
              <w:spacing w:line="240" w:lineRule="auto" w:after="0"/>
            </w:pPr>
            <w:r>
              <w:rPr>
                <w:rFonts w:ascii="Times New Roman" w:hAnsi="Times New Roman"/>
                <w:sz w:val="16"/>
              </w:rPr>
              <w:t xml:space="preserve">Range size 1.53 (0.0020); partial migrant 2.01 (0.0081)</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Non-passerines</w:t>
            </w:r>
          </w:p>
        </w:tc>
        <w:tc>
          <w:tcPr/>
          <w:p>
            <w:pPr>
              <w:pStyle w:val="Compact"/>
              <w:spacing w:line="240" w:lineRule="auto" w:after="0"/>
            </w:pPr>
            <w:r>
              <w:rPr>
                <w:rFonts w:ascii="Times New Roman" w:hAnsi="Times New Roman"/>
                <w:sz w:val="16"/>
              </w:rPr>
              <w:t xml:space="preserve">588</w:t>
            </w:r>
          </w:p>
        </w:tc>
        <w:tc>
          <w:tcPr/>
          <w:p>
            <w:pPr>
              <w:pStyle w:val="Compact"/>
              <w:spacing w:line="240" w:lineRule="auto" w:after="0"/>
            </w:pPr>
            <w:r>
              <w:rPr>
                <w:rFonts w:ascii="Times New Roman" w:hAnsi="Times New Roman"/>
                <w:sz w:val="16"/>
              </w:rPr>
              <w:t xml:space="preserve">131</w:t>
            </w:r>
          </w:p>
        </w:tc>
        <w:tc>
          <w:tcPr/>
          <w:p>
            <w:pPr>
              <w:pStyle w:val="Compact"/>
              <w:spacing w:line="240" w:lineRule="auto" w:after="0"/>
            </w:pPr>
            <w:r>
              <w:rPr>
                <w:rFonts w:ascii="Times New Roman" w:hAnsi="Times New Roman"/>
                <w:sz w:val="16"/>
              </w:rPr>
              <w:t xml:space="preserve">Partial migrant 3.19 (3.3 × 10⁻⁴)</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All species</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Range size 1.44; partial migrant 1.91; open habitat 0.55</w:t>
            </w:r>
          </w:p>
        </w:tc>
      </w:tr>
      <w:tr>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567</w:t>
            </w:r>
          </w:p>
        </w:tc>
        <w:tc>
          <w:tcPr/>
          <w:p>
            <w:pPr>
              <w:pStyle w:val="Compact"/>
              <w:spacing w:line="240" w:lineRule="auto" w:after="0"/>
            </w:pPr>
            <w:r>
              <w:rPr>
                <w:rFonts w:ascii="Times New Roman" w:hAnsi="Times New Roman"/>
                <w:sz w:val="16"/>
              </w:rPr>
              <w:t xml:space="preserve">116</w:t>
            </w:r>
          </w:p>
        </w:tc>
        <w:tc>
          <w:tcPr/>
          <w:p>
            <w:pPr>
              <w:pStyle w:val="Compact"/>
              <w:spacing w:line="240" w:lineRule="auto" w:after="0"/>
            </w:pPr>
            <w:r>
              <w:rPr>
                <w:rFonts w:ascii="Times New Roman" w:hAnsi="Times New Roman"/>
                <w:sz w:val="16"/>
              </w:rPr>
              <w:t xml:space="preserve">Range size 1.60 (0.0042)</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228</w:t>
            </w:r>
          </w:p>
        </w:tc>
        <w:tc>
          <w:tcPr/>
          <w:p>
            <w:pPr>
              <w:pStyle w:val="Compact"/>
              <w:spacing w:line="240" w:lineRule="auto" w:after="0"/>
            </w:pPr>
            <w:r>
              <w:rPr>
                <w:rFonts w:ascii="Times New Roman" w:hAnsi="Times New Roman"/>
                <w:sz w:val="16"/>
              </w:rPr>
              <w:t xml:space="preserve">91</w:t>
            </w:r>
          </w:p>
        </w:tc>
        <w:tc>
          <w:tcPr/>
          <w:p>
            <w:pPr>
              <w:pStyle w:val="Compact"/>
              <w:spacing w:line="240" w:lineRule="auto" w:after="0"/>
            </w:pPr>
            <w:r>
              <w:rPr>
                <w:rFonts w:ascii="Times New Roman" w:hAnsi="Times New Roman"/>
                <w:sz w:val="16"/>
              </w:rPr>
              <w:t xml:space="preserve">Granivore 0.28 (0.044)</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503</w:t>
            </w:r>
          </w:p>
        </w:tc>
        <w:tc>
          <w:tcPr/>
          <w:p>
            <w:pPr>
              <w:pStyle w:val="Compact"/>
              <w:spacing w:line="240" w:lineRule="auto" w:after="0"/>
            </w:pPr>
            <w:r>
              <w:rPr>
                <w:rFonts w:ascii="Times New Roman" w:hAnsi="Times New Roman"/>
                <w:sz w:val="16"/>
              </w:rPr>
              <w:t xml:space="preserve">127</w:t>
            </w:r>
          </w:p>
        </w:tc>
        <w:tc>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3"/>
    <w:bookmarkStart w:id="24" w:name="X8de11ef46cf57080dd812651aa07d8790f2830a"/>
    <w:p>
      <w:pPr>
        <w:pStyle w:val="Heading3"/>
      </w:pPr>
      <w:r>
        <w:t xml:space="preserve">Supplementary Table S7. Risk-set bridge from compilation to modelling data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threshold</w:t>
            </w:r>
          </w:p>
        </w:tc>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pairs</w:t>
            </w:r>
          </w:p>
        </w:tc>
        <w:tc>
          <w:tcPr/>
          <w:p>
            <w:pPr>
              <w:pStyle w:val="Compact"/>
              <w:spacing w:line="240" w:lineRule="auto" w:after="0"/>
            </w:pPr>
            <w:r>
              <w:rPr>
                <w:rFonts w:ascii="Times New Roman" w:hAnsi="Times New Roman"/>
                <w:sz w:val="16"/>
              </w:rPr>
              <w:t xml:space="preserve">rows</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note</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8330</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8308</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r>
              <w:rPr>
                <w:rFonts w:ascii="Times New Roman" w:hAnsi="Times New Roman"/>
                <w:sz w:val="16"/>
              </w:rPr>
              <w:t xml:space="preserve">185478</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8140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7667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7645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170229</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165135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7225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7203</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14 event pairs added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160132</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155435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bl>
    <w:bookmarkEnd w:id="24"/>
    <w:bookmarkStart w:id="25" w:name="X08ff46629d4089bded1a9cd2f447f07c55b5c20"/>
    <w:p>
      <w:pPr>
        <w:pStyle w:val="Heading3"/>
      </w:pPr>
      <w:r>
        <w:t xml:space="preserve">Supplementary Table S8. Fine accumulation-window grid, 3–23 years</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spacing w:line="240" w:lineRule="auto" w:after="0"/>
            </w:pPr>
            <w:r>
              <w:rPr>
                <w:rFonts w:ascii="Times New Roman" w:hAnsi="Times New Roman"/>
                <w:sz w:val="16"/>
              </w:rPr>
              <w:t xml:space="preserve">indicator</w:t>
            </w:r>
          </w:p>
        </w:tc>
        <w:tc>
          <w:tcPr/>
          <w:p>
            <w:pPr>
              <w:pStyle w:val="Compact"/>
              <w:spacing w:line="240" w:lineRule="auto" w:after="0"/>
            </w:pPr>
            <w:r>
              <w:rPr>
                <w:rFonts w:ascii="Times New Roman" w:hAnsi="Times New Roman"/>
                <w:sz w:val="16"/>
              </w:rPr>
              <w:t xml:space="preserve">window</w:t>
            </w:r>
          </w:p>
        </w:tc>
        <w:tc>
          <w:tcPr/>
          <w:p>
            <w:pPr>
              <w:pStyle w:val="Compact"/>
              <w:spacing w:line="240" w:lineRule="auto" w:after="0"/>
            </w:pPr>
            <w:r>
              <w:rPr>
                <w:rFonts w:ascii="Times New Roman" w:hAnsi="Times New Roman"/>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AIC</w:t>
            </w:r>
          </w:p>
        </w:tc>
        <w:tc>
          <w:tcPr/>
          <w:p>
            <w:pPr>
              <w:pStyle w:val="Compact"/>
              <w:spacing w:line="240" w:lineRule="auto" w:after="0"/>
            </w:pPr>
            <w:r>
              <w:rPr>
                <w:rFonts w:ascii="Times New Roman" w:hAnsi="Times New Roman"/>
                <w:sz w:val="16"/>
              </w:rPr>
              <w:t xml:space="preserve">HR_change</w:t>
            </w:r>
          </w:p>
        </w:tc>
        <w:tc>
          <w:tcPr/>
          <w:p>
            <w:pPr>
              <w:pStyle w:val="Compact"/>
              <w:spacing w:line="240" w:lineRule="auto" w:after="0"/>
            </w:pPr>
            <w:r>
              <w:rPr>
                <w:rFonts w:ascii="Times New Roman" w:hAnsi="Times New Roman"/>
                <w:sz w:val="16"/>
              </w:rPr>
              <w:t xml:space="preserve">P_change</w:t>
            </w:r>
          </w:p>
        </w:tc>
        <w:tc>
          <w:tcPr/>
          <w:p>
            <w:pPr>
              <w:pStyle w:val="Compact"/>
              <w:spacing w:line="240" w:lineRule="auto" w:after="0"/>
            </w:pPr>
            <w:r>
              <w:rPr>
                <w:rFonts w:ascii="Times New Roman" w:hAnsi="Times New Roman"/>
                <w:sz w:val="16"/>
              </w:rPr>
              <w:t xml:space="preserve">HR_effort</w:t>
            </w:r>
          </w:p>
        </w:tc>
        <w:tc>
          <w:tcPr/>
          <w:p>
            <w:pPr>
              <w:pStyle w:val="Compact"/>
              <w:spacing w:line="240" w:lineRule="auto" w:after="0"/>
            </w:pPr>
            <w:r>
              <w:rPr>
                <w:rFonts w:ascii="Times New Roman" w:hAnsi="Times New Roman"/>
                <w:sz w:val="16"/>
              </w:rPr>
              <w:t xml:space="preserve">P_effort</w:t>
            </w:r>
          </w:p>
        </w:tc>
        <w:tc>
          <w:tcPr/>
          <w:p>
            <w:pPr>
              <w:pStyle w:val="Compact"/>
              <w:spacing w:line="240" w:lineRule="auto" w:after="0"/>
            </w:pPr>
            <w:r>
              <w:rPr>
                <w:rFonts w:ascii="Times New Roman" w:hAnsi="Times New Roman"/>
                <w:sz w:val="16"/>
              </w:rPr>
              <w:t xml:space="preserve">HR_var</w:t>
            </w:r>
          </w:p>
        </w:tc>
        <w:tc>
          <w:tcPr/>
          <w:p>
            <w:pPr>
              <w:pStyle w:val="Compact"/>
              <w:spacing w:line="240" w:lineRule="auto" w:after="0"/>
            </w:pPr>
            <w:r>
              <w:rPr>
                <w:rFonts w:ascii="Times New Roman" w:hAnsi="Times New Roman"/>
                <w:sz w:val="16"/>
              </w:rPr>
              <w:t xml:space="preserve">P_var</w:t>
            </w:r>
          </w:p>
        </w:tc>
        <w:tc>
          <w:tcPr/>
          <w:p>
            <w:pPr>
              <w:pStyle w:val="Compact"/>
              <w:spacing w:line="240" w:lineRule="auto" w:after="0"/>
            </w:pPr>
            <w:r>
              <w:rPr>
                <w:rFonts w:ascii="Times New Roman" w:hAnsi="Times New Roman"/>
                <w:sz w:val="16"/>
              </w:rPr>
              <w:t xml:space="preserve">HR_int</w:t>
            </w:r>
          </w:p>
        </w:tc>
        <w:tc>
          <w:tcPr/>
          <w:p>
            <w:pPr>
              <w:pStyle w:val="Compact"/>
              <w:spacing w:line="240" w:lineRule="auto" w:after="0"/>
            </w:pPr>
            <w:r>
              <w:rPr>
                <w:rFonts w:ascii="Times New Roman" w:hAnsi="Times New Roman"/>
                <w:sz w:val="16"/>
              </w:rPr>
              <w:t xml:space="preserve">P_int</w:t>
            </w:r>
          </w:p>
        </w:tc>
        <w:tc>
          <w:tcPr/>
          <w:p>
            <w:pPr>
              <w:pStyle w:val="Compact"/>
              <w:spacing w:line="240" w:lineRule="auto" w:after="0"/>
            </w:pPr>
            <w:r>
              <w:rPr>
                <w:rFonts w:ascii="Times New Roman" w:hAnsi="Times New Roman"/>
                <w:sz w:val="16"/>
              </w:rPr>
              <w:t xml:space="preserve">cor_change_var</w:t>
            </w:r>
          </w:p>
        </w:tc>
        <w:tc>
          <w:tcPr/>
          <w:p>
            <w:pPr>
              <w:pStyle w:val="Compact"/>
              <w:spacing w:line="240" w:lineRule="auto" w:after="0"/>
            </w:pPr>
            <w:r>
              <w:rPr>
                <w:rFonts w:ascii="Times New Roman" w:hAnsi="Times New Roman"/>
                <w:sz w:val="16"/>
              </w:rPr>
              <w:t xml:space="preserve">sd_change</w:t>
            </w:r>
          </w:p>
        </w:tc>
        <w:tc>
          <w:tcPr/>
          <w:p>
            <w:pPr>
              <w:pStyle w:val="Compact"/>
              <w:spacing w:line="240" w:lineRule="auto" w:after="0"/>
            </w:pPr>
            <w:r>
              <w:rPr>
                <w:rFonts w:ascii="Times New Roman" w:hAnsi="Times New Roman"/>
                <w:sz w:val="16"/>
              </w:rPr>
              <w:t xml:space="preserve">sd_var</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8334.74547010848</w:t>
            </w:r>
          </w:p>
        </w:tc>
        <w:tc>
          <w:tcPr/>
          <w:p>
            <w:pPr>
              <w:pStyle w:val="Compact"/>
              <w:spacing w:line="240" w:lineRule="auto" w:after="0"/>
            </w:pPr>
            <w:r>
              <w:rPr>
                <w:rFonts w:ascii="Times New Roman" w:hAnsi="Times New Roman"/>
                <w:sz w:val="16"/>
              </w:rPr>
              <w:t xml:space="preserve">1.16687433053163</w:t>
            </w:r>
          </w:p>
        </w:tc>
        <w:tc>
          <w:tcPr/>
          <w:p>
            <w:pPr>
              <w:pStyle w:val="Compact"/>
              <w:spacing w:line="240" w:lineRule="auto" w:after="0"/>
            </w:pPr>
            <w:r>
              <w:rPr>
                <w:rFonts w:ascii="Times New Roman" w:hAnsi="Times New Roman"/>
                <w:sz w:val="16"/>
              </w:rPr>
              <w:t xml:space="preserve">0.00308143421236181</w:t>
            </w:r>
          </w:p>
        </w:tc>
        <w:tc>
          <w:tcPr/>
          <w:p>
            <w:pPr>
              <w:pStyle w:val="Compact"/>
              <w:spacing w:line="240" w:lineRule="auto" w:after="0"/>
            </w:pPr>
            <w:r>
              <w:rPr>
                <w:rFonts w:ascii="Times New Roman" w:hAnsi="Times New Roman"/>
                <w:sz w:val="16"/>
              </w:rPr>
              <w:t xml:space="preserve">1.39203175633644</w:t>
            </w:r>
          </w:p>
        </w:tc>
        <w:tc>
          <w:tcPr/>
          <w:p>
            <w:pPr>
              <w:pStyle w:val="Compact"/>
              <w:spacing w:line="240" w:lineRule="auto" w:after="0"/>
            </w:pPr>
            <w:r>
              <w:rPr>
                <w:rFonts w:ascii="Times New Roman" w:hAnsi="Times New Roman"/>
                <w:sz w:val="16"/>
              </w:rPr>
              <w:t xml:space="preserve">8.22817372592171e-08</w:t>
            </w:r>
          </w:p>
        </w:tc>
        <w:tc>
          <w:tcPr/>
          <w:p>
            <w:pPr>
              <w:pStyle w:val="Compact"/>
              <w:spacing w:line="240" w:lineRule="auto" w:after="0"/>
            </w:pPr>
            <w:r>
              <w:rPr>
                <w:rFonts w:ascii="Times New Roman" w:hAnsi="Times New Roman"/>
                <w:sz w:val="16"/>
              </w:rPr>
              <w:t xml:space="preserve">1.0102091915128</w:t>
            </w:r>
          </w:p>
        </w:tc>
        <w:tc>
          <w:tcPr/>
          <w:p>
            <w:pPr>
              <w:pStyle w:val="Compact"/>
              <w:spacing w:line="240" w:lineRule="auto" w:after="0"/>
            </w:pPr>
            <w:r>
              <w:rPr>
                <w:rFonts w:ascii="Times New Roman" w:hAnsi="Times New Roman"/>
                <w:sz w:val="16"/>
              </w:rPr>
              <w:t xml:space="preserve">0.824289105225732</w:t>
            </w:r>
          </w:p>
        </w:tc>
        <w:tc>
          <w:tcPr/>
          <w:p>
            <w:pPr>
              <w:pStyle w:val="Compact"/>
              <w:spacing w:line="240" w:lineRule="auto" w:after="0"/>
            </w:pPr>
            <w:r>
              <w:rPr>
                <w:rFonts w:ascii="Times New Roman" w:hAnsi="Times New Roman"/>
                <w:sz w:val="16"/>
              </w:rPr>
              <w:t xml:space="preserve">0.897275949066271</w:t>
            </w:r>
          </w:p>
        </w:tc>
        <w:tc>
          <w:tcPr/>
          <w:p>
            <w:pPr>
              <w:pStyle w:val="Compact"/>
              <w:spacing w:line="240" w:lineRule="auto" w:after="0"/>
            </w:pPr>
            <w:r>
              <w:rPr>
                <w:rFonts w:ascii="Times New Roman" w:hAnsi="Times New Roman"/>
                <w:sz w:val="16"/>
              </w:rPr>
              <w:t xml:space="preserve">0.044704290400132</w:t>
            </w:r>
          </w:p>
        </w:tc>
        <w:tc>
          <w:tcPr/>
          <w:p>
            <w:pPr>
              <w:pStyle w:val="Compact"/>
              <w:spacing w:line="240" w:lineRule="auto" w:after="0"/>
            </w:pPr>
            <w:r>
              <w:rPr>
                <w:rFonts w:ascii="Times New Roman" w:hAnsi="Times New Roman"/>
                <w:sz w:val="16"/>
              </w:rPr>
              <w:t xml:space="preserve">0.0229924154514988</w:t>
            </w:r>
          </w:p>
        </w:tc>
        <w:tc>
          <w:tcPr/>
          <w:p>
            <w:pPr>
              <w:pStyle w:val="Compact"/>
              <w:spacing w:line="240" w:lineRule="auto" w:after="0"/>
            </w:pPr>
            <w:r>
              <w:rPr>
                <w:rFonts w:ascii="Times New Roman" w:hAnsi="Times New Roman"/>
                <w:sz w:val="16"/>
              </w:rPr>
              <w:t xml:space="preserve">0.244518445153784</w:t>
            </w:r>
          </w:p>
        </w:tc>
        <w:tc>
          <w:tcPr/>
          <w:p>
            <w:pPr>
              <w:pStyle w:val="Compact"/>
              <w:spacing w:line="240" w:lineRule="auto" w:after="0"/>
            </w:pPr>
            <w:r>
              <w:rPr>
                <w:rFonts w:ascii="Times New Roman" w:hAnsi="Times New Roman"/>
                <w:sz w:val="16"/>
              </w:rPr>
              <w:t xml:space="preserve">0.307624841763943</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8327.8514269459</w:t>
            </w:r>
          </w:p>
        </w:tc>
        <w:tc>
          <w:tcPr/>
          <w:p>
            <w:pPr>
              <w:pStyle w:val="Compact"/>
              <w:spacing w:line="240" w:lineRule="auto" w:after="0"/>
            </w:pPr>
            <w:r>
              <w:rPr>
                <w:rFonts w:ascii="Times New Roman" w:hAnsi="Times New Roman"/>
                <w:sz w:val="16"/>
              </w:rPr>
              <w:t xml:space="preserve">1.21277497955454</w:t>
            </w:r>
          </w:p>
        </w:tc>
        <w:tc>
          <w:tcPr/>
          <w:p>
            <w:pPr>
              <w:pStyle w:val="Compact"/>
              <w:spacing w:line="240" w:lineRule="auto" w:after="0"/>
            </w:pPr>
            <w:r>
              <w:rPr>
                <w:rFonts w:ascii="Times New Roman" w:hAnsi="Times New Roman"/>
                <w:sz w:val="16"/>
              </w:rPr>
              <w:t xml:space="preserve">0.000613392432158084</w:t>
            </w:r>
          </w:p>
        </w:tc>
        <w:tc>
          <w:tcPr/>
          <w:p>
            <w:pPr>
              <w:pStyle w:val="Compact"/>
              <w:spacing w:line="240" w:lineRule="auto" w:after="0"/>
            </w:pPr>
            <w:r>
              <w:rPr>
                <w:rFonts w:ascii="Times New Roman" w:hAnsi="Times New Roman"/>
                <w:sz w:val="16"/>
              </w:rPr>
              <w:t xml:space="preserve">1.4067312756397</w:t>
            </w:r>
          </w:p>
        </w:tc>
        <w:tc>
          <w:tcPr/>
          <w:p>
            <w:pPr>
              <w:pStyle w:val="Compact"/>
              <w:spacing w:line="240" w:lineRule="auto" w:after="0"/>
            </w:pPr>
            <w:r>
              <w:rPr>
                <w:rFonts w:ascii="Times New Roman" w:hAnsi="Times New Roman"/>
                <w:sz w:val="16"/>
              </w:rPr>
              <w:t xml:space="preserve">3.39416619968756e-08</w:t>
            </w:r>
          </w:p>
        </w:tc>
        <w:tc>
          <w:tcPr/>
          <w:p>
            <w:pPr>
              <w:pStyle w:val="Compact"/>
              <w:spacing w:line="240" w:lineRule="auto" w:after="0"/>
            </w:pPr>
            <w:r>
              <w:rPr>
                <w:rFonts w:ascii="Times New Roman" w:hAnsi="Times New Roman"/>
                <w:sz w:val="16"/>
              </w:rPr>
              <w:t xml:space="preserve">1.02214487466341</w:t>
            </w:r>
          </w:p>
        </w:tc>
        <w:tc>
          <w:tcPr/>
          <w:p>
            <w:pPr>
              <w:pStyle w:val="Compact"/>
              <w:spacing w:line="240" w:lineRule="auto" w:after="0"/>
            </w:pPr>
            <w:r>
              <w:rPr>
                <w:rFonts w:ascii="Times New Roman" w:hAnsi="Times New Roman"/>
                <w:sz w:val="16"/>
              </w:rPr>
              <w:t xml:space="preserve">0.632978890821376</w:t>
            </w:r>
          </w:p>
        </w:tc>
        <w:tc>
          <w:tcPr/>
          <w:p>
            <w:pPr>
              <w:pStyle w:val="Compact"/>
              <w:spacing w:line="240" w:lineRule="auto" w:after="0"/>
            </w:pPr>
            <w:r>
              <w:rPr>
                <w:rFonts w:ascii="Times New Roman" w:hAnsi="Times New Roman"/>
                <w:sz w:val="16"/>
              </w:rPr>
              <w:t xml:space="preserve">0.846781407584866</w:t>
            </w:r>
          </w:p>
        </w:tc>
        <w:tc>
          <w:tcPr/>
          <w:p>
            <w:pPr>
              <w:pStyle w:val="Compact"/>
              <w:spacing w:line="240" w:lineRule="auto" w:after="0"/>
            </w:pPr>
            <w:r>
              <w:rPr>
                <w:rFonts w:ascii="Times New Roman" w:hAnsi="Times New Roman"/>
                <w:sz w:val="16"/>
              </w:rPr>
              <w:t xml:space="preserve">0.00195203763706829</w:t>
            </w:r>
          </w:p>
        </w:tc>
        <w:tc>
          <w:tcPr/>
          <w:p>
            <w:pPr>
              <w:pStyle w:val="Compact"/>
              <w:spacing w:line="240" w:lineRule="auto" w:after="0"/>
            </w:pPr>
            <w:r>
              <w:rPr>
                <w:rFonts w:ascii="Times New Roman" w:hAnsi="Times New Roman"/>
                <w:sz w:val="16"/>
              </w:rPr>
              <w:t xml:space="preserve">-0.00202422619321214</w:t>
            </w:r>
          </w:p>
        </w:tc>
        <w:tc>
          <w:tcPr/>
          <w:p>
            <w:pPr>
              <w:pStyle w:val="Compact"/>
              <w:spacing w:line="240" w:lineRule="auto" w:after="0"/>
            </w:pPr>
            <w:r>
              <w:rPr>
                <w:rFonts w:ascii="Times New Roman" w:hAnsi="Times New Roman"/>
                <w:sz w:val="16"/>
              </w:rPr>
              <w:t xml:space="preserve">0.204928042873436</w:t>
            </w:r>
          </w:p>
        </w:tc>
        <w:tc>
          <w:tcPr/>
          <w:p>
            <w:pPr>
              <w:pStyle w:val="Compact"/>
              <w:spacing w:line="240" w:lineRule="auto" w:after="0"/>
            </w:pPr>
            <w:r>
              <w:rPr>
                <w:rFonts w:ascii="Times New Roman" w:hAnsi="Times New Roman"/>
                <w:sz w:val="16"/>
              </w:rPr>
              <w:t xml:space="preserve">0.340835089204242</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8313.15361099188</w:t>
            </w:r>
          </w:p>
        </w:tc>
        <w:tc>
          <w:tcPr/>
          <w:p>
            <w:pPr>
              <w:pStyle w:val="Compact"/>
              <w:spacing w:line="240" w:lineRule="auto" w:after="0"/>
            </w:pPr>
            <w:r>
              <w:rPr>
                <w:rFonts w:ascii="Times New Roman" w:hAnsi="Times New Roman"/>
                <w:sz w:val="16"/>
              </w:rPr>
              <w:t xml:space="preserve">1.36164754167317</w:t>
            </w:r>
          </w:p>
        </w:tc>
        <w:tc>
          <w:tcPr/>
          <w:p>
            <w:pPr>
              <w:pStyle w:val="Compact"/>
              <w:spacing w:line="240" w:lineRule="auto" w:after="0"/>
            </w:pPr>
            <w:r>
              <w:rPr>
                <w:rFonts w:ascii="Times New Roman" w:hAnsi="Times New Roman"/>
                <w:sz w:val="16"/>
              </w:rPr>
              <w:t xml:space="preserve">8.33903878612454e-08</w:t>
            </w:r>
          </w:p>
        </w:tc>
        <w:tc>
          <w:tcPr/>
          <w:p>
            <w:pPr>
              <w:pStyle w:val="Compact"/>
              <w:spacing w:line="240" w:lineRule="auto" w:after="0"/>
            </w:pPr>
            <w:r>
              <w:rPr>
                <w:rFonts w:ascii="Times New Roman" w:hAnsi="Times New Roman"/>
                <w:sz w:val="16"/>
              </w:rPr>
              <w:t xml:space="preserve">1.4038169859134</w:t>
            </w:r>
          </w:p>
        </w:tc>
        <w:tc>
          <w:tcPr/>
          <w:p>
            <w:pPr>
              <w:pStyle w:val="Compact"/>
              <w:spacing w:line="240" w:lineRule="auto" w:after="0"/>
            </w:pPr>
            <w:r>
              <w:rPr>
                <w:rFonts w:ascii="Times New Roman" w:hAnsi="Times New Roman"/>
                <w:sz w:val="16"/>
              </w:rPr>
              <w:t xml:space="preserve">2.89651690863056e-08</w:t>
            </w:r>
          </w:p>
        </w:tc>
        <w:tc>
          <w:tcPr/>
          <w:p>
            <w:pPr>
              <w:pStyle w:val="Compact"/>
              <w:spacing w:line="240" w:lineRule="auto" w:after="0"/>
            </w:pPr>
            <w:r>
              <w:rPr>
                <w:rFonts w:ascii="Times New Roman" w:hAnsi="Times New Roman"/>
                <w:sz w:val="16"/>
              </w:rPr>
              <w:t xml:space="preserve">0.995095739809156</w:t>
            </w:r>
          </w:p>
        </w:tc>
        <w:tc>
          <w:tcPr/>
          <w:p>
            <w:pPr>
              <w:pStyle w:val="Compact"/>
              <w:spacing w:line="240" w:lineRule="auto" w:after="0"/>
            </w:pPr>
            <w:r>
              <w:rPr>
                <w:rFonts w:ascii="Times New Roman" w:hAnsi="Times New Roman"/>
                <w:sz w:val="16"/>
              </w:rPr>
              <w:t xml:space="preserve">0.91565385817717</w:t>
            </w:r>
          </w:p>
        </w:tc>
        <w:tc>
          <w:tcPr/>
          <w:p>
            <w:pPr>
              <w:pStyle w:val="Compact"/>
              <w:spacing w:line="240" w:lineRule="auto" w:after="0"/>
            </w:pPr>
            <w:r>
              <w:rPr>
                <w:rFonts w:ascii="Times New Roman" w:hAnsi="Times New Roman"/>
                <w:sz w:val="16"/>
              </w:rPr>
              <w:t xml:space="preserve">0.84924794872335</w:t>
            </w:r>
          </w:p>
        </w:tc>
        <w:tc>
          <w:tcPr/>
          <w:p>
            <w:pPr>
              <w:pStyle w:val="Compact"/>
              <w:spacing w:line="240" w:lineRule="auto" w:after="0"/>
            </w:pPr>
            <w:r>
              <w:rPr>
                <w:rFonts w:ascii="Times New Roman" w:hAnsi="Times New Roman"/>
                <w:sz w:val="16"/>
              </w:rPr>
              <w:t xml:space="preserve">0.00365005267236242</w:t>
            </w:r>
          </w:p>
        </w:tc>
        <w:tc>
          <w:tcPr/>
          <w:p>
            <w:pPr>
              <w:pStyle w:val="Compact"/>
              <w:spacing w:line="240" w:lineRule="auto" w:after="0"/>
            </w:pPr>
            <w:r>
              <w:rPr>
                <w:rFonts w:ascii="Times New Roman" w:hAnsi="Times New Roman"/>
                <w:sz w:val="16"/>
              </w:rPr>
              <w:t xml:space="preserve">-0.00581566949011493</w:t>
            </w:r>
          </w:p>
        </w:tc>
        <w:tc>
          <w:tcPr/>
          <w:p>
            <w:pPr>
              <w:pStyle w:val="Compact"/>
              <w:spacing w:line="240" w:lineRule="auto" w:after="0"/>
            </w:pPr>
            <w:r>
              <w:rPr>
                <w:rFonts w:ascii="Times New Roman" w:hAnsi="Times New Roman"/>
                <w:sz w:val="16"/>
              </w:rPr>
              <w:t xml:space="preserve">0.179344940725948</w:t>
            </w:r>
          </w:p>
        </w:tc>
        <w:tc>
          <w:tcPr/>
          <w:p>
            <w:pPr>
              <w:pStyle w:val="Compact"/>
              <w:spacing w:line="240" w:lineRule="auto" w:after="0"/>
            </w:pPr>
            <w:r>
              <w:rPr>
                <w:rFonts w:ascii="Times New Roman" w:hAnsi="Times New Roman"/>
                <w:sz w:val="16"/>
              </w:rPr>
              <w:t xml:space="preserve">0.35561002852531</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20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8310.95070849146</w:t>
            </w:r>
          </w:p>
        </w:tc>
        <w:tc>
          <w:tcPr/>
          <w:p>
            <w:pPr>
              <w:pStyle w:val="Compact"/>
              <w:spacing w:line="240" w:lineRule="auto" w:after="0"/>
            </w:pPr>
            <w:r>
              <w:rPr>
                <w:rFonts w:ascii="Times New Roman" w:hAnsi="Times New Roman"/>
                <w:sz w:val="16"/>
              </w:rPr>
              <w:t xml:space="preserve">1.39643304332344</w:t>
            </w:r>
          </w:p>
        </w:tc>
        <w:tc>
          <w:tcPr/>
          <w:p>
            <w:pPr>
              <w:pStyle w:val="Compact"/>
              <w:spacing w:line="240" w:lineRule="auto" w:after="0"/>
            </w:pPr>
            <w:r>
              <w:rPr>
                <w:rFonts w:ascii="Times New Roman" w:hAnsi="Times New Roman"/>
                <w:sz w:val="16"/>
              </w:rPr>
              <w:t xml:space="preserve">1.48837451312238e-08</w:t>
            </w:r>
          </w:p>
        </w:tc>
        <w:tc>
          <w:tcPr/>
          <w:p>
            <w:pPr>
              <w:pStyle w:val="Compact"/>
              <w:spacing w:line="240" w:lineRule="auto" w:after="0"/>
            </w:pPr>
            <w:r>
              <w:rPr>
                <w:rFonts w:ascii="Times New Roman" w:hAnsi="Times New Roman"/>
                <w:sz w:val="16"/>
              </w:rPr>
              <w:t xml:space="preserve">1.39987775187103</w:t>
            </w:r>
          </w:p>
        </w:tc>
        <w:tc>
          <w:tcPr/>
          <w:p>
            <w:pPr>
              <w:pStyle w:val="Compact"/>
              <w:spacing w:line="240" w:lineRule="auto" w:after="0"/>
            </w:pPr>
            <w:r>
              <w:rPr>
                <w:rFonts w:ascii="Times New Roman" w:hAnsi="Times New Roman"/>
                <w:sz w:val="16"/>
              </w:rPr>
              <w:t xml:space="preserve">3.06713113126806e-08</w:t>
            </w:r>
          </w:p>
        </w:tc>
        <w:tc>
          <w:tcPr/>
          <w:p>
            <w:pPr>
              <w:pStyle w:val="Compact"/>
              <w:spacing w:line="240" w:lineRule="auto" w:after="0"/>
            </w:pPr>
            <w:r>
              <w:rPr>
                <w:rFonts w:ascii="Times New Roman" w:hAnsi="Times New Roman"/>
                <w:sz w:val="16"/>
              </w:rPr>
              <w:t xml:space="preserve">1.0000016932692</w:t>
            </w:r>
          </w:p>
        </w:tc>
        <w:tc>
          <w:tcPr/>
          <w:p>
            <w:pPr>
              <w:pStyle w:val="Compact"/>
              <w:spacing w:line="240" w:lineRule="auto" w:after="0"/>
            </w:pPr>
            <w:r>
              <w:rPr>
                <w:rFonts w:ascii="Times New Roman" w:hAnsi="Times New Roman"/>
                <w:sz w:val="16"/>
              </w:rPr>
              <w:t xml:space="preserve">0.999971191251049</w:t>
            </w:r>
          </w:p>
        </w:tc>
        <w:tc>
          <w:tcPr/>
          <w:p>
            <w:pPr>
              <w:pStyle w:val="Compact"/>
              <w:spacing w:line="240" w:lineRule="auto" w:after="0"/>
            </w:pPr>
            <w:r>
              <w:rPr>
                <w:rFonts w:ascii="Times New Roman" w:hAnsi="Times New Roman"/>
                <w:sz w:val="16"/>
              </w:rPr>
              <w:t xml:space="preserve">0.823324494218752</w:t>
            </w:r>
          </w:p>
        </w:tc>
        <w:tc>
          <w:tcPr/>
          <w:p>
            <w:pPr>
              <w:pStyle w:val="Compact"/>
              <w:spacing w:line="240" w:lineRule="auto" w:after="0"/>
            </w:pPr>
            <w:r>
              <w:rPr>
                <w:rFonts w:ascii="Times New Roman" w:hAnsi="Times New Roman"/>
                <w:sz w:val="16"/>
              </w:rPr>
              <w:t xml:space="preserve">0.000330950948500261</w:t>
            </w:r>
          </w:p>
        </w:tc>
        <w:tc>
          <w:tcPr/>
          <w:p>
            <w:pPr>
              <w:pStyle w:val="Compact"/>
              <w:spacing w:line="240" w:lineRule="auto" w:after="0"/>
            </w:pPr>
            <w:r>
              <w:rPr>
                <w:rFonts w:ascii="Times New Roman" w:hAnsi="Times New Roman"/>
                <w:sz w:val="16"/>
              </w:rPr>
              <w:t xml:space="preserve">0.0396801488719948</w:t>
            </w:r>
          </w:p>
        </w:tc>
        <w:tc>
          <w:tcPr/>
          <w:p>
            <w:pPr>
              <w:pStyle w:val="Compact"/>
              <w:spacing w:line="240" w:lineRule="auto" w:after="0"/>
            </w:pPr>
            <w:r>
              <w:rPr>
                <w:rFonts w:ascii="Times New Roman" w:hAnsi="Times New Roman"/>
                <w:sz w:val="16"/>
              </w:rPr>
              <w:t xml:space="preserve">0.15415453723643</w:t>
            </w:r>
          </w:p>
        </w:tc>
        <w:tc>
          <w:tcPr/>
          <w:p>
            <w:pPr>
              <w:pStyle w:val="Compact"/>
              <w:spacing w:line="240" w:lineRule="auto" w:after="0"/>
            </w:pPr>
            <w:r>
              <w:rPr>
                <w:rFonts w:ascii="Times New Roman" w:hAnsi="Times New Roman"/>
                <w:sz w:val="16"/>
              </w:rPr>
              <w:t xml:space="preserve">0.360154997655603</w:t>
            </w:r>
          </w:p>
        </w:tc>
      </w:tr>
    </w:tbl>
    <w:bookmarkEnd w:id="25"/>
    <w:bookmarkEnd w:id="26"/>
    <w:bookmarkStart w:id="81" w:name="supplementary-figures"/>
    <w:p>
      <w:pPr>
        <w:pStyle w:val="Heading2"/>
      </w:pPr>
      <w:r>
        <w:t xml:space="preserve">Supplementary Figures</w:t>
      </w:r>
    </w:p>
    <w:p>
      <w:pPr>
        <w:pStyle w:val="FirstParagraph"/>
      </w:pPr>
      <w:r>
        <w:drawing>
          <wp:inline>
            <wp:extent cx="5334000" cy="1877567"/>
            <wp:effectExtent b="0" l="0" r="0" t="0"/>
            <wp:docPr descr="" title="" id="28" name="Picture"/>
            <a:graphic>
              <a:graphicData uri="http://schemas.openxmlformats.org/drawingml/2006/picture">
                <pic:pic>
                  <pic:nvPicPr>
                    <pic:cNvPr descr="/Users/dingchenchen/Documents/New%20records/bird-new-distribution-records/tasks/bird_hazard_model_effort_upgrade_v2/analysis_v2/figures/Fig4_random_structure_v2.png" id="29" name="Picture"/>
                    <pic:cNvPicPr>
                      <a:picLocks noChangeArrowheads="1" noChangeAspect="1"/>
                    </pic:cNvPicPr>
                  </pic:nvPicPr>
                  <pic:blipFill>
                    <a:blip r:embed="rId27"/>
                    <a:stretch>
                      <a:fillRect/>
                    </a:stretch>
                  </pic:blipFill>
                  <pic:spPr bwMode="auto">
                    <a:xfrm>
                      <a:off x="0" y="0"/>
                      <a:ext cx="5334000" cy="1877567"/>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524250"/>
            <wp:effectExtent b="0" l="0" r="0" t="0"/>
            <wp:docPr descr="" title="" id="31"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2" name="Picture"/>
                    <pic:cNvPicPr>
                      <a:picLocks noChangeArrowheads="1" noChangeAspect="1"/>
                    </pic:cNvPicPr>
                  </pic:nvPicPr>
                  <pic:blipFill>
                    <a:blip r:embed="rId30"/>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S2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556000"/>
            <wp:effectExtent b="0" l="0" r="0" t="0"/>
            <wp:docPr descr="" title="" id="34" name="Picture"/>
            <a:graphic>
              <a:graphicData uri="http://schemas.openxmlformats.org/drawingml/2006/picture">
                <pic:pic>
                  <pic:nvPicPr>
                    <pic:cNvPr descr="/Users/dingchenchen/Documents/New%20records/bird-new-distribution-records/tasks/bird_hazard_model_effort_upgrade_v2/analysis_v2/figures/Fig8_migratory_strategy_v2.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S3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37" name="Picture"/>
            <a:graphic>
              <a:graphicData uri="http://schemas.openxmlformats.org/drawingml/2006/picture">
                <pic:pic>
                  <pic:nvPicPr>
                    <pic:cNvPr descr="/Users/dingchenchen/Documents/New%20records/bird-new-distribution-records/tasks/bird_hazard_model_effort_upgrade_v2/analysis_v2/figures/Fig9_species_level_v2.png" id="38" name="Picture"/>
                    <pic:cNvPicPr>
                      <a:picLocks noChangeArrowheads="1" noChangeAspect="1"/>
                    </pic:cNvPicPr>
                  </pic:nvPicPr>
                  <pic:blipFill>
                    <a:blip r:embed="rId36"/>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S4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40" name="Picture"/>
            <a:graphic>
              <a:graphicData uri="http://schemas.openxmlformats.org/drawingml/2006/picture">
                <pic:pic>
                  <pic:nvPicPr>
                    <pic:cNvPr descr="/Users/dingchenchen/Documents/New%20records/bird-new-distribution-records/tasks/bird_hazard_model_effort_upgrade_v2/analysis_v2/figures/Fig10_province_level_v2.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3745148"/>
            <wp:effectExtent b="0" l="0" r="0" t="0"/>
            <wp:docPr descr="" title="" id="43"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44" name="Picture"/>
                    <pic:cNvPicPr>
                      <a:picLocks noChangeArrowheads="1" noChangeAspect="1"/>
                    </pic:cNvPicPr>
                  </pic:nvPicPr>
                  <pic:blipFill>
                    <a:blip r:embed="rId42"/>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S6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46" name="Picture"/>
            <a:graphic>
              <a:graphicData uri="http://schemas.openxmlformats.org/drawingml/2006/picture">
                <pic:pic>
                  <pic:nvPicPr>
                    <pic:cNvPr descr="/Users/dingchenchen/Documents/New%20records/bird-new-distribution-records/tasks/bird_hazard_model_effort_upgrade_v2/analysis_v2/figures_future/FigM2_future_ml_v2.png" id="47" name="Picture"/>
                    <pic:cNvPicPr>
                      <a:picLocks noChangeArrowheads="1" noChangeAspect="1"/>
                    </pic:cNvPicPr>
                  </pic:nvPicPr>
                  <pic:blipFill>
                    <a:blip r:embed="rId45"/>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S7 | Machine-learning projection under identical inputs and the same support mask.</w:t>
      </w:r>
    </w:p>
    <w:p>
      <w:pPr>
        <w:pStyle w:val="BodyText"/>
      </w:pPr>
      <w:r>
        <w:drawing>
          <wp:inline>
            <wp:extent cx="5334000" cy="1842654"/>
            <wp:effectExtent b="0" l="0" r="0" t="0"/>
            <wp:docPr descr="" title="" id="49"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50" name="Picture"/>
                    <pic:cNvPicPr>
                      <a:picLocks noChangeArrowheads="1" noChangeAspect="1"/>
                    </pic:cNvPicPr>
                  </pic:nvPicPr>
                  <pic:blipFill>
                    <a:blip r:embed="rId48"/>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S8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drawing>
          <wp:inline>
            <wp:extent cx="5334000" cy="4000500"/>
            <wp:effectExtent b="0" l="0" r="0" t="0"/>
            <wp:docPr descr="" title="" id="52" name="Picture"/>
            <a:graphic>
              <a:graphicData uri="http://schemas.openxmlformats.org/drawingml/2006/picture">
                <pic:pic>
                  <pic:nvPicPr>
                    <pic:cNvPr descr="/Users/dingchenchen/Documents/New%20records/bird-new-distribution-records/tasks/bird_hazard_model_effort_upgrade_v2/analysis_v2/figures/FigS1_dharma_v2.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S9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745148"/>
            <wp:effectExtent b="0" l="0" r="0" t="0"/>
            <wp:docPr descr="" title="" id="55" name="Picture"/>
            <a:graphic>
              <a:graphicData uri="http://schemas.openxmlformats.org/drawingml/2006/picture">
                <pic:pic>
                  <pic:nvPicPr>
                    <pic:cNvPr descr="/Users/dingchenchen/Documents/New%20records/bird-new-distribution-records/tasks/bird_hazard_model_effort_upgrade_v2/analysis_v2/figures_future/FigS3_future_unmasked_v2.png" id="56" name="Picture"/>
                    <pic:cNvPicPr>
                      <a:picLocks noChangeArrowheads="1" noChangeAspect="1"/>
                    </pic:cNvPicPr>
                  </pic:nvPicPr>
                  <pic:blipFill>
                    <a:blip r:embed="rId54"/>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The same mechanistic projection without the support mask</w:t>
      </w:r>
      <w:r>
        <w:t xml:space="preserve">, shown to indicate the magnitude of the extrapolation.</w:t>
      </w:r>
    </w:p>
    <w:p>
      <w:pPr>
        <w:pStyle w:val="BodyText"/>
      </w:pPr>
      <w:r>
        <w:drawing>
          <wp:inline>
            <wp:extent cx="5334000" cy="3269225"/>
            <wp:effectExtent b="0" l="0" r="0" t="0"/>
            <wp:docPr descr="" title="" id="58" name="Picture"/>
            <a:graphic>
              <a:graphicData uri="http://schemas.openxmlformats.org/drawingml/2006/picture">
                <pic:pic>
                  <pic:nvPicPr>
                    <pic:cNvPr descr="/Users/dingchenchen/Documents/New%20records/bird-new-distribution-records/tasks/bird_hazard_model_effort_upgrade_v2/analysis_v2/figures/FigS5_resampling_v2.png" id="59" name="Picture"/>
                    <pic:cNvPicPr>
                      <a:picLocks noChangeArrowheads="1" noChangeAspect="1"/>
                    </pic:cNvPicPr>
                  </pic:nvPicPr>
                  <pic:blipFill>
                    <a:blip r:embed="rId57"/>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S11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660588"/>
            <wp:effectExtent b="0" l="0" r="0" t="0"/>
            <wp:docPr descr="" title="" id="61" name="Picture"/>
            <a:graphic>
              <a:graphicData uri="http://schemas.openxmlformats.org/drawingml/2006/picture">
                <pic:pic>
                  <pic:nvPicPr>
                    <pic:cNvPr descr="/Users/dingchenchen/Documents/New%20records/bird-new-distribution-records/tasks/bird_hazard_model_effort_upgrade_v2/analysis_v2/figures_pa/FigP1_pa_enrichment.png" id="62" name="Picture"/>
                    <pic:cNvPicPr>
                      <a:picLocks noChangeArrowheads="1" noChangeAspect="1"/>
                    </pic:cNvPicPr>
                  </pic:nvPicPr>
                  <pic:blipFill>
                    <a:blip r:embed="rId60"/>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S12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inside the 1,028 mapped reserves.</w:t>
      </w:r>
      <w:r>
        <w:t xml:space="preserve"> </w:t>
      </w:r>
      <w:r>
        <w:rPr>
          <w:b/>
          <w:bCs/>
        </w:rPr>
        <w:t xml:space="preserve">b</w:t>
      </w:r>
      <w:r>
        <w:t xml:space="preserve">, Conditional logistic estimand ladder, each event matched to 200 same-province same-year checklist-weighted control locations.</w:t>
      </w:r>
      <w:r>
        <w:t xml:space="preserve"> </w:t>
      </w:r>
      <w:r>
        <w:rPr>
          <w:b/>
          <w:bCs/>
        </w:rPr>
        <w:t xml:space="preserve">c</w:t>
      </w:r>
      <w:r>
        <w:t xml:space="preserve">, Robustness across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64" name="Picture"/>
            <a:graphic>
              <a:graphicData uri="http://schemas.openxmlformats.org/drawingml/2006/picture">
                <pic:pic>
                  <pic:nvPicPr>
                    <pic:cNvPr descr="/Users/dingchenchen/Documents/New%20records/bird-new-distribution-records/tasks/bird_hazard_model_effort_upgrade_v2/analysis_v2/figures_pa/FigP2_pa_persistence.png" id="65" name="Picture"/>
                    <pic:cNvPicPr>
                      <a:picLocks noChangeArrowheads="1" noChangeAspect="1"/>
                    </pic:cNvPicPr>
                  </pic:nvPicPr>
                  <pic:blipFill>
                    <a:blip r:embed="rId63"/>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pre-declared equivalence bounds.</w:t>
      </w:r>
    </w:p>
    <w:p>
      <w:pPr>
        <w:pStyle w:val="BodyText"/>
      </w:pPr>
      <w:r>
        <w:drawing>
          <wp:inline>
            <wp:extent cx="5334000" cy="3974352"/>
            <wp:effectExtent b="0" l="0" r="0" t="0"/>
            <wp:docPr descr="" title="" id="67" name="Picture"/>
            <a:graphic>
              <a:graphicData uri="http://schemas.openxmlformats.org/drawingml/2006/picture">
                <pic:pic>
                  <pic:nvPicPr>
                    <pic:cNvPr descr="/Users/dingchenchen/Documents/New%20records/bird-new-distribution-records/tasks/bird_hazard_model_effort_upgrade_v2/analysis_v2/figures_pa/FigP3_pa_mismatch_monitoring.png" id="68" name="Picture"/>
                    <pic:cNvPicPr>
                      <a:picLocks noChangeArrowheads="1" noChangeAspect="1"/>
                    </pic:cNvPicPr>
                  </pic:nvPicPr>
                  <pic:blipFill>
                    <a:blip r:embed="rId66"/>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S14 | The mapped reserve network shows no measurable mismatch with observed cell-level warming.</w:t>
      </w:r>
      <w:r>
        <w:t xml:space="preserve"> </w:t>
      </w:r>
      <w:r>
        <w:rPr>
          <w:b/>
          <w:bCs/>
        </w:rPr>
        <w:t xml:space="preserve">a</w:t>
      </w:r>
      <w:r>
        <w:t xml:space="preserve">, Area-weighted reserve coverage across warming quintiles under provincial-broadcast versus recomputed cell-level warming.</w:t>
      </w:r>
      <w:r>
        <w:t xml:space="preserve"> </w:t>
      </w:r>
      <w:r>
        <w:rPr>
          <w:b/>
          <w:bCs/>
        </w:rPr>
        <w:t xml:space="preserve">b</w:t>
      </w:r>
      <w:r>
        <w:t xml:space="preserve">, Stratified permutation within province × elevation bands.</w:t>
      </w:r>
      <w:r>
        <w:t xml:space="preserve"> </w:t>
      </w:r>
      <w:r>
        <w:rPr>
          <w:b/>
          <w:bCs/>
        </w:rPr>
        <w:t xml:space="preserve">c</w:t>
      </w:r>
      <w:r>
        <w:t xml:space="preserve">–</w:t>
      </w:r>
      <w:r>
        <w:rPr>
          <w:b/>
          <w:bCs/>
        </w:rPr>
        <w:t xml:space="preserve">d</w:t>
      </w:r>
      <w:r>
        <w:t xml:space="preserve">, Monitoring-grafting priority classes.</w:t>
      </w:r>
    </w:p>
    <w:p>
      <w:pPr>
        <w:pStyle w:val="BodyText"/>
      </w:pPr>
      <w:r>
        <w:drawing>
          <wp:inline>
            <wp:extent cx="5334000" cy="3934918"/>
            <wp:effectExtent b="0" l="0" r="0" t="0"/>
            <wp:docPr descr="" title="" id="70" name="Picture"/>
            <a:graphic>
              <a:graphicData uri="http://schemas.openxmlformats.org/drawingml/2006/picture">
                <pic:pic>
                  <pic:nvPicPr>
                    <pic:cNvPr descr="/Users/dingchenchen/Documents/New%20records/bird-new-distribution-records/tasks/bird_hazard_model_effort_upgrade_v2/analysis_v2/figures_multiscale/FigST1_spatiotemporal_pattern.png" id="71" name="Picture"/>
                    <pic:cNvPicPr>
                      <a:picLocks noChangeArrowheads="1" noChangeAspect="1"/>
                    </pic:cNvPicPr>
                  </pic:nvPicPr>
                  <pic:blipFill>
                    <a:blip r:embed="rId69"/>
                    <a:stretch>
                      <a:fillRect/>
                    </a:stretch>
                  </pic:blipFill>
                  <pic:spPr bwMode="auto">
                    <a:xfrm>
                      <a:off x="0" y="0"/>
                      <a:ext cx="5334000" cy="3934918"/>
                    </a:xfrm>
                    <a:prstGeom prst="rect">
                      <a:avLst/>
                    </a:prstGeom>
                    <a:noFill/>
                    <a:ln w="9525">
                      <a:noFill/>
                      <a:headEnd/>
                      <a:tailEnd/>
                    </a:ln>
                  </pic:spPr>
                </pic:pic>
              </a:graphicData>
            </a:graphic>
          </wp:inline>
        </w:drawing>
      </w:r>
    </w:p>
    <w:p>
      <w:pPr>
        <w:pStyle w:val="BodyText"/>
      </w:pPr>
      <w:r>
        <w:rPr>
          <w:b/>
          <w:bCs/>
        </w:rPr>
        <w:t xml:space="preserve">Fig. S15 | Spatial and temporal pattern of the released compilation.</w:t>
      </w:r>
      <w:r>
        <w:t xml:space="preserve"> </w:t>
      </w:r>
      <w:r>
        <w:rPr>
          <w:b/>
          <w:bCs/>
        </w:rPr>
        <w:t xml:space="preserve">a</w:t>
      </w:r>
      <w:r>
        <w:t xml:space="preserve">, 1,056 georeferenced records coloured by year.</w:t>
      </w:r>
      <w:r>
        <w:t xml:space="preserve"> </w:t>
      </w:r>
      <w:r>
        <w:rPr>
          <w:b/>
          <w:bCs/>
        </w:rPr>
        <w:t xml:space="preserve">b</w:t>
      </w:r>
      <w:r>
        <w:t xml:space="preserve">, Cumulative records per province.</w:t>
      </w:r>
      <w:r>
        <w:t xml:space="preserve"> </w:t>
      </w:r>
      <w:r>
        <w:rPr>
          <w:b/>
          <w:bCs/>
        </w:rPr>
        <w:t xml:space="preserve">c</w:t>
      </w:r>
      <w:r>
        <w:t xml:space="preserve">, Annual counts by reported year (bars) and, for the modelled subset, by discovery year (line); their offset motivates the dating correction.</w:t>
      </w:r>
      <w:r>
        <w:t xml:space="preserve"> </w:t>
      </w:r>
      <w:r>
        <w:rPr>
          <w:b/>
          <w:bCs/>
        </w:rPr>
        <w:t xml:space="preserve">d</w:t>
      </w:r>
      <w:r>
        <w:t xml:space="preserve">, Latitude and longitude of records against year with loess fits. Data: CBNR, Zenodo record 20809949 (CC-BY-4.0); three records with implausible coordinates excluded.</w:t>
      </w:r>
    </w:p>
    <w:p>
      <w:pPr>
        <w:pStyle w:val="BodyText"/>
      </w:pPr>
      <w:r>
        <w:drawing>
          <wp:inline>
            <wp:extent cx="5334000" cy="4018767"/>
            <wp:effectExtent b="0" l="0" r="0" t="0"/>
            <wp:docPr descr="" title="" id="73" name="Picture"/>
            <a:graphic>
              <a:graphicData uri="http://schemas.openxmlformats.org/drawingml/2006/picture">
                <pic:pic>
                  <pic:nvPicPr>
                    <pic:cNvPr descr="/Users/dingchenchen/Documents/New%20records/bird-new-distribution-records/tasks/bird_hazard_model_effort_upgrade_v2/analysis_v2/figures_multiscale/FigMS3_future_scenarios.png" id="74" name="Picture"/>
                    <pic:cNvPicPr>
                      <a:picLocks noChangeArrowheads="1" noChangeAspect="1"/>
                    </pic:cNvPicPr>
                  </pic:nvPicPr>
                  <pic:blipFill>
                    <a:blip r:embed="rId72"/>
                    <a:stretch>
                      <a:fillRect/>
                    </a:stretch>
                  </pic:blipFill>
                  <pic:spPr bwMode="auto">
                    <a:xfrm>
                      <a:off x="0" y="0"/>
                      <a:ext cx="5334000" cy="4018767"/>
                    </a:xfrm>
                    <a:prstGeom prst="rect">
                      <a:avLst/>
                    </a:prstGeom>
                    <a:noFill/>
                    <a:ln w="9525">
                      <a:noFill/>
                      <a:headEnd/>
                      <a:tailEnd/>
                    </a:ln>
                  </pic:spPr>
                </pic:pic>
              </a:graphicData>
            </a:graphic>
          </wp:inline>
        </w:drawing>
      </w:r>
    </w:p>
    <w:p>
      <w:pPr>
        <w:pStyle w:val="BodyText"/>
      </w:pPr>
      <w:r>
        <w:rPr>
          <w:b/>
          <w:bCs/>
        </w:rPr>
        <w:t xml:space="preserve">Fig. S16 | Future scenarios with climate and survey effort as independent axes.</w:t>
      </w:r>
      <w:r>
        <w:t xml:space="preserve"> </w:t>
      </w:r>
      <w:r>
        <w:t xml:space="preserve">Predicted number of first records per province under SSP2-4.5 and SSP5-8.5, with effort frozen at 2024 or growing at 0.6 SD per decade, for</w:t>
      </w:r>
      <w:r>
        <w:t xml:space="preserve"> </w:t>
      </w:r>
      <w:r>
        <w:rPr>
          <w:b/>
          <w:bCs/>
        </w:rPr>
        <w:t xml:space="preserve">a</w:t>
      </w:r>
      <w:r>
        <w:t xml:space="preserve"> </w:t>
      </w:r>
      <w:r>
        <w:t xml:space="preserve">2030 and</w:t>
      </w:r>
      <w:r>
        <w:t xml:space="preserve"> </w:t>
      </w:r>
      <w:r>
        <w:rPr>
          <w:b/>
          <w:bCs/>
        </w:rPr>
        <w:t xml:space="preserve">b</w:t>
      </w:r>
      <w:r>
        <w:t xml:space="preserve"> </w:t>
      </w:r>
      <w:r>
        <w:t xml:space="preserve">2050;</w:t>
      </w:r>
      <w:r>
        <w:t xml:space="preserve"> </w:t>
      </w:r>
      <w:r>
        <w:rPr>
          <w:b/>
          <w:bCs/>
        </w:rPr>
        <w:t xml:space="preserve">c</w:t>
      </w:r>
      <w:r>
        <w:t xml:space="preserve">, county surfaces for 2050 under fixed 2024 allocation shares. Colour is log10 of the expected number; transparency encodes the fraction of species–province cells inside the fitted covariate support; national totals and support fractions are given per panel.</w:t>
      </w:r>
    </w:p>
    <w:p>
      <w:pPr>
        <w:pStyle w:val="BodyText"/>
      </w:pPr>
      <w:r>
        <w:drawing>
          <wp:inline>
            <wp:extent cx="5334000" cy="4606636"/>
            <wp:effectExtent b="0" l="0" r="0" t="0"/>
            <wp:docPr descr="" title="" id="76" name="Picture"/>
            <a:graphic>
              <a:graphicData uri="http://schemas.openxmlformats.org/drawingml/2006/picture">
                <pic:pic>
                  <pic:nvPicPr>
                    <pic:cNvPr descr="/Users/dingchenchen/Documents/New%20records/bird-new-distribution-records/tasks/bird_hazard_model_effort_upgrade_v2/analysis_v2/figures_multiscale/FigMS2_multiscale_model_skill.png" id="77" name="Picture"/>
                    <pic:cNvPicPr>
                      <a:picLocks noChangeArrowheads="1" noChangeAspect="1"/>
                    </pic:cNvPicPr>
                  </pic:nvPicPr>
                  <pic:blipFill>
                    <a:blip r:embed="rId75"/>
                    <a:stretch>
                      <a:fillRect/>
                    </a:stretch>
                  </pic:blipFill>
                  <pic:spPr bwMode="auto">
                    <a:xfrm>
                      <a:off x="0" y="0"/>
                      <a:ext cx="5334000" cy="4606636"/>
                    </a:xfrm>
                    <a:prstGeom prst="rect">
                      <a:avLst/>
                    </a:prstGeom>
                    <a:noFill/>
                    <a:ln w="9525">
                      <a:noFill/>
                      <a:headEnd/>
                      <a:tailEnd/>
                    </a:ln>
                  </pic:spPr>
                </pic:pic>
              </a:graphicData>
            </a:graphic>
          </wp:inline>
        </w:drawing>
      </w:r>
    </w:p>
    <w:p>
      <w:pPr>
        <w:pStyle w:val="BodyText"/>
      </w:pPr>
      <w:r>
        <w:rPr>
          <w:b/>
          <w:bCs/>
        </w:rPr>
        <w:t xml:space="preserve">Fig. S17 | Skill of three model families across validation designs.</w:t>
      </w:r>
      <w:r>
        <w:t xml:space="preserve"> </w:t>
      </w:r>
      <w:r>
        <w:rPr>
          <w:b/>
          <w:bCs/>
        </w:rPr>
        <w:t xml:space="preserve">a</w:t>
      </w:r>
      <w:r>
        <w:t xml:space="preserve">, Province-level PR-AUC for the mechanistic model, a random forest and XGBoost under random, leave-species, leave-province and temporal folds (event rate 0.369%; error bars fold SD).</w:t>
      </w:r>
      <w:r>
        <w:t xml:space="preserve"> </w:t>
      </w:r>
      <w:r>
        <w:rPr>
          <w:b/>
          <w:bCs/>
        </w:rPr>
        <w:t xml:space="preserve">b</w:t>
      </w:r>
      <w:r>
        <w:t xml:space="preserve">, Rank skill of the same families in prefecture- and county-level allocation under temporal forward-prediction and leave-one-province splits (0.5 = random).</w:t>
      </w:r>
    </w:p>
    <w:p>
      <w:pPr>
        <w:pStyle w:val="BodyText"/>
      </w:pPr>
      <w:r>
        <w:drawing>
          <wp:inline>
            <wp:extent cx="5334000" cy="5671820"/>
            <wp:effectExtent b="0" l="0" r="0" t="0"/>
            <wp:docPr descr="" title="" id="79" name="Picture"/>
            <a:graphic>
              <a:graphicData uri="http://schemas.openxmlformats.org/drawingml/2006/picture">
                <pic:pic>
                  <pic:nvPicPr>
                    <pic:cNvPr descr="/Users/dingchenchen/Documents/New%20records/bird-new-distribution-records/tasks/bird_hazard_model_effort_upgrade_v2/analysis_v2/figures_multiscale/FigMS1_multiscale_model_maps_si.png" id="80" name="Picture"/>
                    <pic:cNvPicPr>
                      <a:picLocks noChangeArrowheads="1" noChangeAspect="1"/>
                    </pic:cNvPicPr>
                  </pic:nvPicPr>
                  <pic:blipFill>
                    <a:blip r:embed="rId78"/>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S18 | Prediction surfaces of three model families at three administrative scales, 2024.</w:t>
      </w:r>
      <w:r>
        <w:t xml:space="preserve"> </w:t>
      </w:r>
      <w:r>
        <w:t xml:space="preserve">Rows: province, prefecture, county; columns: mechanistic two-stage model, random forest, XGBoost. Each column is internally consistent (its own province stage times its own within-province allocation); colour scales are shared within rows (log10 expected number of records). Basemap GS(2019)1822.</w:t>
      </w:r>
    </w:p>
    <w:bookmarkEnd w:id="81"/>
    <w:bookmarkEnd w:id="82"/>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36" Type="http://schemas.openxmlformats.org/officeDocument/2006/relationships/image" Target="media/rId36.png"/><Relationship Id="rId51" Type="http://schemas.openxmlformats.org/officeDocument/2006/relationships/image" Target="media/rId51.png"/><Relationship Id="rId57" Type="http://schemas.openxmlformats.org/officeDocument/2006/relationships/image" Target="media/rId57.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4" Type="http://schemas.openxmlformats.org/officeDocument/2006/relationships/image" Target="media/rId54.png"/><Relationship Id="rId78" Type="http://schemas.openxmlformats.org/officeDocument/2006/relationships/image" Target="media/rId78.png"/><Relationship Id="rId75" Type="http://schemas.openxmlformats.org/officeDocument/2006/relationships/image" Target="media/rId75.png"/><Relationship Id="rId72" Type="http://schemas.openxmlformats.org/officeDocument/2006/relationships/image" Target="media/rId72.png"/><Relationship Id="rId69" Type="http://schemas.openxmlformats.org/officeDocument/2006/relationships/image" Target="media/rId69.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2026-09-09T11:55:50Z</dcterms:created>
  <dcterms:modified xsi:type="dcterms:W3CDTF">2026-09-09T11:55:50Z</dcterms:modified>
</cp:coreProperties>
</file>

<file path=docProps/custom.xml><?xml version="1.0" encoding="utf-8"?>
<Properties xmlns="http://schemas.openxmlformats.org/officeDocument/2006/custom-properties" xmlns:vt="http://schemas.openxmlformats.org/officeDocument/2006/docPropsVTypes"/>
</file>