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Documented distributions reflect where organisms occur and where people look. Here we model the annual hazard of a first provincial record on a complete species-by-province-year risk set for 1,029 Chinese bird records (2002–2024), dated to discovery rather than publication. Publication-year dating inflates the effort hazard ratio from 1.305 to 1.788 and manufactures a spurious climate-variability effect. Corrected, accumulated warming relative to a species’ historical range (1.362 per standard deviation) and survey effort (1.404) contribute comparably. Design-preserving permutation nulls centre warming on 1.157, not unity, an increment near 1.18, and collapse effort to 0.980 when its temporal alignment is broken. The largest variance component is a province-by-year random intercept (SD 0.804); effort’s marginal return declines from 2.18 to 1.07 while the climate effect does not; and new records fall disproportionately east and northeast of species’ ranges. Documented range gains therefore reflect climate and observation in roughly equal measure.</w:t>
      </w:r>
    </w:p>
    <w:bookmarkEnd w:id="9"/>
    <w:bookmarkStart w:id="11"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and the inferential consequences remain incompletely handled in the literature on climate-driven range shifts</w:t>
      </w:r>
      <w:r>
        <w:rPr>
          <w:vertAlign w:val="superscript"/>
        </w:rPr>
        <w:t xml:space="preserve">5–8</w:t>
      </w:r>
      <w:r>
        <w:t xml:space="preserve">. A first report of a species from an administrative unit is often read as evidence of range expansion, but the same record is equally consistent with a long-standing population that has only now been detected, or with a stable population in a region whose observer base has recently grown</w:t>
      </w:r>
      <w:r>
        <w:rPr>
          <w:vertAlign w:val="superscript"/>
        </w:rPr>
        <w:t xml:space="preserve">16,19–21</w:t>
      </w:r>
      <w:r>
        <w:t xml:space="preserve">. Which reading is correct determines whether a body of records is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grew from a few thousand to hundreds of thousands of participants, and a national compilation of provincial new bird records now carries dates of discovery as well as of publication</w:t>
      </w:r>
      <w:r>
        <w:rPr>
          <w:vertAlign w:val="superscript"/>
        </w:rPr>
        <w:t xml:space="preserve">9,25,37</w:t>
      </w:r>
      <w:r>
        <w:t xml:space="preserve">. That both signals expanded together is what makes the attribution hard, and what makes a formal risk-set analysis necessary.</w:t>
      </w:r>
    </w:p>
    <w:p>
      <w:pPr>
        <w:pStyle w:val="BodyText"/>
      </w:pPr>
      <w:r>
        <w:t xml:space="preserve">Three gaps motivate this study. First, the temporal alignment of events has not been examined. Records carry two dates — when the bird was seen, and when the paper appeared — and almost all analyses use the latter, the field primary sources reliably report. Publication lag is not a small random offset but a right-skewed delay that grew alongside the observational infrastructure, so dating an event to publication places it in a year in which the effort database was systematically larger. Second, the observation process operates at a scale most models do not represent. Survey campaigns, birding festivals, new protected areas and reporting channels act on one province in one year; species and region random intercepts, the conventional choice</w:t>
      </w:r>
      <w:r>
        <w:rPr>
          <w:vertAlign w:val="superscript"/>
        </w:rPr>
        <w:t xml:space="preserve">55</w:t>
      </w:r>
      <w:r>
        <w:t xml:space="preserve">, cannot absorb this, and it leaks into whichever fixed effect trends with observational capacity. Third, projections of future record generation have been made without checking whether the scenarios lie inside the fitted data.</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rStyle w:val="FootnoteReference"/>
        </w:rPr>
        <w:footnoteReference w:id="10"/>
      </w:r>
      <w:r>
        <w:t xml:space="preserve">^. We re-date every event to its year of discovery, correct the resulting right-censoring with a reporting-completeness offset, treat structurally implausible zeros in the effort database as coverage gaps, and add a province-by-year random intercept. We then ask how large the dating bias is, what warming and effort each contribute once it is corrected, and how far the fitted relationship can be projected.</w:t>
      </w:r>
    </w:p>
    <w:bookmarkEnd w:id="11"/>
    <w:bookmarkStart w:id="24" w:name="results"/>
    <w:p>
      <w:pPr>
        <w:pStyle w:val="Heading2"/>
      </w:pPr>
      <w:r>
        <w:t xml:space="preserve">Results</w:t>
      </w:r>
    </w:p>
    <w:bookmarkStart w:id="12"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matched a species × province cell in the candidate pool defined by species-distribution models plus forced inclusion of every observed event, and 657 fall within the 2002–2024 analysis window. After requiring non-missing effort and climate components, the modelling data contain 175,901 rows, 649 events, 392 species and 31 provincial units (Supplementary Note S1; Supplementary Table S9). Its spatio-temporal pattern is summarised in Supplementary Fig. S18.</w:t>
      </w:r>
    </w:p>
    <w:p>
      <w:pPr>
        <w:pStyle w:val="BodyText"/>
      </w:pPr>
      <w:r>
        <w:t xml:space="preserve">Publication lags discovery by a median of one year and a mean of 2.09 years; 81.7% of records lag by at least one year and 26.8% by three or more (Fig. 2a). Re-dating changes the assigned year of 526 of 633 comparable events (83.1%), with a median shift of −1 year and a mean of −1.83 years. The two conventions produce qualitatively different time series (Fig. 2b): the publication-year series rises monotonically to 67 events in 2024, whereas the discovery-year series peaks at 59 in 2019 and falls to 14 in 2024. The former is an artefact of delayed reporting, the latter right-censoring. Because the observed hazard is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included throughout.</w:t>
      </w:r>
    </w:p>
    <w:bookmarkEnd w:id="12"/>
    <w:bookmarkStart w:id="13"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2c; Supplementary Table S1). 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The four remaining corrections — coverage-gap effort, area-weighted climate, the completeness offset and the province-by-year intercept — are smaller, although the completeness offset restores +0.159 by recovering signal that right-censoring had attenuated.</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and decorrelates the event from the weather of the year in which the bird was actually seen, which is why a spurious negative coefficient on annual climate variability appears under publication-year dating and disappears under discovery-year dating. Accumulated warming, a fifteen-year trailing mean, is robust to a one- or two-year shift, which is why it survives the correction unchanged.</w:t>
      </w:r>
    </w:p>
    <w:bookmarkEnd w:id="13"/>
    <w:bookmarkStart w:id="14"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1).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1b).</w:t>
      </w:r>
    </w:p>
    <w:p>
      <w:pPr>
        <w:pStyle w:val="BodyText"/>
      </w:pPr>
      <w:r>
        <w:t xml:space="preserve">Two qualifications apply to these effect sizes. First, the reference point for the warming coefficient is not unity. Permuting accumulated warming among species within a province-year, or the event indicator among the species at risk, still returns a hazard ratio of 1.157–1.167, because both preserve the covariance between provincial-annual climate and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baseline shared with the null. The effort coefficient behaves differently: permuting effort across years within a province collapses it to 0.980, with the null 95% interval covering unity, so it derives from the temporal alignment of effort and events, not from cross-sectional contrasts between provinces. Second, the Wald intervals are slightly narrow under provincial clustering. A cluster bootstrap resampling provinces widens them to 1.20–1.72 for warming and 1.21–1.76 for effort; both lower bounds still exceed unity, and the interaction remains bounded away from it (0.74–0.99). Resampling species leaves them essentially unchanged.</w:t>
      </w:r>
    </w:p>
    <w:p>
      <w:pPr>
        <w:pStyle w:val="BodyText"/>
      </w:pPr>
      <w:r>
        <w:t xml:space="preserve">In natural units, one standard deviation of accumulated warming is 0.179 °C: a province that has warmed by that much more than a species’ own historical Chinese range carries a 36% higher annual hazard for that species. One standard deviation of survey effort corresponds to a 7.75-fold increase in annual provincial visits. The climate variable is genuinely species-specific rather than a relabelled regional index, and four independent importance criteria agree that warming and effort are of comparable weight (Supplementary Note S2; Supplementary Fig. S4).</w:t>
      </w:r>
    </w:p>
    <w:p>
      <w:pPr>
        <w:pStyle w:val="BodyText"/>
      </w:pPr>
      <w:r>
        <w:t xml:space="preserve">The discrimination ladder makes the point most directly (Fig. 1d). With the random structure held at the main model, fixed-effect-only AUC rises from 0.411 for the null model to 0.559 with effort alone, 0.580 with accumulated warming alone, and 0.610 with both. Climate alone discriminates better than effort alone; neither alone approaches the pair. This is a different conclusion from the one reached under publication-year dating, where effort dominated.</w:t>
      </w:r>
    </w:p>
    <w:bookmarkEnd w:id="14"/>
    <w:bookmarkStart w:id="15"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(Supplementary Table S2;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is flat across all six structures (0.607–0.613), so the random structure absorbs observational heterogeneity without redistributing the fixed-effect signal. Two random-slope alternatives fit marginally better on AIC but reduce conditional</w:t>
      </w:r>
      <w:r>
        <w:t xml:space="preserve"> </w:t>
      </w:r>
      <w:r>
        <w:rPr>
          <w:i/>
          <w:iCs/>
        </w:rPr>
        <w:t xml:space="preserve">R</w:t>
      </w:r>
      <w:r>
        <w:t xml:space="preserve">² and leave the fixed effects unchanged, so we freeze the three-level intercept structure (Supplementary Note S3).</w:t>
      </w:r>
    </w:p>
    <w:p>
      <w:pPr>
        <w:pStyle w:val="BodyText"/>
      </w:pPr>
      <w:r>
        <w:t xml:space="preserve">The random intercepts have standard deviations of 0.405 for species, 0.326 for province and 0.804 for province by year, so one standard deviation multiplies the hazard by 1.50, 1.39 and 2.23 respectively, and the fitted province-year levels span a thirteenfold range (Fig. 3c). The province-by-year term is the single largest variance component, larger than either fixed effect.</w:t>
      </w:r>
    </w:p>
    <w:p>
      <w:pPr>
        <w:pStyle w:val="BodyText"/>
      </w:pPr>
      <w:r>
        <w:t xml:space="preserve">Ecologically, that component is the scale at which the observation process actually operates: a regional survey campaign, a provincial birding festival, a newly established protected area or a new local reporting channel raises the documentation rate for one province in one year, and such shocks are not shared nationally (Supplementary Note S3; Supplementary Table S4). The reporting-completeness offset is a known correction rather than a free parameter; omitting it attenuates the effort coefficient from 1.372 to 1.245, because censoring is concentrated in the recent, high-effort years.</w:t>
      </w:r>
    </w:p>
    <w:bookmarkEnd w:id="15"/>
    <w:bookmarkStart w:id="16" w:name="Xf38245127daa17f58c79a23a62853ee4cbb15cc"/>
    <w:p>
      <w:pPr>
        <w:pStyle w:val="Heading3"/>
      </w:pPr>
      <w:r>
        <w:t xml:space="preserve">Migratory strategy shifts the baseline, not the drivers</w:t>
      </w:r>
    </w:p>
    <w:p>
      <w:pPr>
        <w:pStyle w:val="FirstParagraph"/>
      </w:pPr>
      <w:r>
        <w:t xml:space="preserve">Migratory strategy shifts the baseline hazard, improving fit by ΔAIC 6.2, but moderates neither driver: warming and effort raise the hazard in residents, partial migrants and long-distance migrants alike, and no interaction with strategy is supported (Supplementary Note S4; Supplementary Table S5; Supplementary Fig. S5).</w:t>
      </w:r>
    </w:p>
    <w:bookmarkEnd w:id="16"/>
    <w:bookmarkStart w:id="17" w:name="which-species-and-which-provinces"/>
    <w:p>
      <w:pPr>
        <w:pStyle w:val="Heading3"/>
      </w:pPr>
      <w:r>
        <w:t xml:space="preserve">Which species, and which provinces</w:t>
      </w:r>
    </w:p>
    <w:p>
      <w:pPr>
        <w:pStyle w:val="FirstParagraph"/>
      </w:pPr>
      <w:r>
        <w:t xml:space="preserve">Two companion analyses operate at coarser levels (Supplementary Note S5; Supplementary Tables S6–S8; Supplementary Figs S6, S7). Two species-level effects hold under all three treatments of phylogenetic non-independence: partial migrants are about twice as likely as residents to yield a new provincial record, and range size raises the odds — but only when range is measured as an area, because the count of provinces occupied is contaminated by the response.</w:t>
      </w:r>
    </w:p>
    <w:p>
      <w:pPr>
        <w:pStyle w:val="BodyText"/>
      </w:pPr>
      <w:r>
        <w:t xml:space="preserve">At the provincial level, the informative model treats recent effort as an offset, making the response the discovery rate per unit of effort; provinces already well covered in 2002–2008 yield fewer records per unit of recent effort (0.71,</w:t>
      </w:r>
      <w:r>
        <w:t xml:space="preserve"> </w:t>
      </w:r>
      <w:r>
        <w:rPr>
          <w:i/>
          <w:iCs/>
        </w:rPr>
        <w:t xml:space="preserve">P</w:t>
      </w:r>
      <w:r>
        <w:t xml:space="preserve"> </w:t>
      </w:r>
      <w:r>
        <w:t xml:space="preserve">= 0.028). Effort therefore appears at the provincial scale not as a count effect but as diminishing returns — the same signal the hazard model shows as an effort coefficient that falls through time.</w:t>
      </w:r>
    </w:p>
    <w:bookmarkEnd w:id="17"/>
    <w:bookmarkStart w:id="18"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 known range with equal frequency. They do not. Taking the bearing from the centroid of each species’ BirdLife range to the record and binning into eight sectors, direction is far from uniform (χ² = 580.1, df = 7,</w:t>
      </w:r>
      <w:r>
        <w:t xml:space="preserve"> </w:t>
      </w:r>
      <w:r>
        <w:rPr>
          <w:i/>
          <w:iCs/>
        </w:rPr>
        <w:t xml:space="preserve">P</w:t>
      </w:r>
      <w:r>
        <w:t xml:space="preserve"> </w:t>
      </w:r>
      <w:r>
        <w:t xml:space="preserve">= 4.6 × 10⁻¹²¹; Fig. 4). Two sectors are over-represented after Holm correction: east holds 237 of 642 records (36.9%, against 80.2 expected) and northeast 179 (27.9%). South and west are nearly empty, with 20 and 19. The pattern is not carried by one taxon: five well-sampled orders reject uniformity on their own, and in every case the significant sectors are east, northeast or both (Supplementary Note S6; Supplementary Fig. S16).</w:t>
      </w:r>
    </w:p>
    <w:p>
      <w:pPr>
        <w:pStyle w:val="BodyText"/>
      </w:pPr>
      <w:r>
        <w:t xml:space="preserve">Two mechanisms are consistent with this and cannot be separated by these data. Observationally, the eastern half of China holds the great majority of the observer population, so a range edge is far more likely to be watched on its eastern than on its western side. Ecologically, eastern and north-eastern margins are where suitable climate is expanding fastest for a warming-tracking assemblage. That birds show an eastward rather than a northward bias is itself informative: China’s observer gradient runs west-to-east, not south-to-north, which tilts the balance toward the observational explanation for this taxon.</w:t>
      </w:r>
    </w:p>
    <w:bookmarkEnd w:id="18"/>
    <w:bookmarkStart w:id="19"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3d). Two decades of intensifying observation have used up the readily detectable gaps. That the climate term shows no such decline is the sharpest available evidence that the two coefficients capture different processes: a saturating observational one and a non-saturating climatic one.</w:t>
      </w:r>
    </w:p>
    <w:bookmarkEnd w:id="19"/>
    <w:bookmarkStart w:id="20" w:name="robustness"/>
    <w:p>
      <w:pPr>
        <w:pStyle w:val="Heading3"/>
      </w:pPr>
      <w:r>
        <w:t xml:space="preserve">Robustness</w:t>
      </w:r>
    </w:p>
    <w:p>
      <w:pPr>
        <w:pStyle w:val="FirstParagraph"/>
      </w:pPr>
      <w:r>
        <w:t xml:space="preserve">The conclusions do not depend on any freely chosen analytical decision (Supplementary Note S7; Supplementary Figs S2, S3; Supplementary Table S10). Raising the species-distribution-model threshold from 50 to 200 suitable cells changes the risk set from 175,901 to 155,435 rows but leaves the coefficients essentially fixed (effort 1.404, 1.405, 1.411; warming 1.362, 1.376, 1.372; interaction 0.849, 0.851, 0.850). All twelve combinations of four effort proxies and three treatments of the 24 implausible zero cells give effort hazard ratios between 1.25 and 1.52 and warming hazard ratios between 1.35 and 1.37. Tested jointly against three climate series (Supplementary Note S7), the warming coefficient rises with window length in every series, from about 1.16–1.21 at five years to 1.36–1.40 at twenty — the signature expected of a process that integrates climate over years to decades, with an interior optimum. We retain 15 years as pre-specified; it lies within 2.2–5.6 AIC units of the optimum in every series. The effort coefficient is flat at 1.34–1.41 across the same grid, so the two terms are not competing for the same variance.</w:t>
      </w:r>
    </w:p>
    <w:bookmarkEnd w:id="20"/>
    <w:bookmarkStart w:id="21" w:name="model-adequacy"/>
    <w:p>
      <w:pPr>
        <w:pStyle w:val="Heading3"/>
      </w:pPr>
      <w:r>
        <w:t xml:space="preserve">Model adequacy</w:t>
      </w:r>
    </w:p>
    <w:p>
      <w:pPr>
        <w:pStyle w:val="FirstParagraph"/>
      </w:pPr>
      <w:r>
        <w:t xml:space="preserve">Simulation-based residual diagnostics indicate a well-calibrated model with no spatial autocorrelation in province-mean residuals, apart from a significant outlier test (95 outliers,</w:t>
      </w:r>
      <w:r>
        <w:t xml:space="preserve"> </w:t>
      </w:r>
      <w:r>
        <w:rPr>
          <w:i/>
          <w:iCs/>
        </w:rPr>
        <w:t xml:space="preserve">P</w:t>
      </w:r>
      <w:r>
        <w:t xml:space="preserve"> </w:t>
      </w:r>
      <w:r>
        <w:t xml:space="preserve">&lt; 0.001) that is expected of a binary outcome with an event rate of 0.37% (Supplementary Note S8; Supplementary Table S3; Supplementary Figs S8, S9).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a cluster bootstrap of 300 resamples and a parametric bootstrap of 150 simulations agree that provincial, but not species, clustering inflates the model-based standard errors. Leaving out each province in turn, and each of ten species deciles, shows that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asked how much of each scenario lies inside the range over which the model was fitted (Fig. 5b).</w:t>
      </w:r>
    </w:p>
    <w:p>
      <w:pPr>
        <w:pStyle w:val="BodyText"/>
      </w:pPr>
      <w:r>
        <w:t xml:space="preserve">The historical species-specific gradient has a standard deviation of only 0.18 °C, whereas future province-minus-range warming differentials reach 2 °C, more than ten standard deviations beyond the fitted range; only 47.8% of species-province cells fall inside the fitted covariate support under SSP2-4.5 in 2030, 10.4% in 2050 and 2.1% in 2080 (34.2%, 2.1% and 1.9% under SSP5-8.5).</w:t>
      </w:r>
    </w:p>
    <w:p>
      <w:pPr>
        <w:pStyle w:val="BodyText"/>
      </w:pPr>
      <w:r>
        <w:t xml:space="preserve">Restricted to cells inside the support, the mechanistic model projects hazard ratios relative to 2024 of 0.79 to 2.94; applied without the mask, the same model produces ratios up to 78. A gradient-boosted comparison model trained on the same three predictors tracks the mechanistic model inside the observed range but diverges completely outside it, agreeing on the direction of change in only 23.7% of cells (Fig. 5c; Supplementary Note S9; Supplementary Figs S10–S12). Treating climate and effort as independent scenario axes, the climate pathway barely moves the national expectation (23.2 versus 23.1 records per year in 2030) whereas continued effort growth more than doubles it by 2050—almost entirely outside the fitted support (Supplementary Fig. S19). Random forest and XGBoost behave alike and agree on where records fall (Supplementary Note S11; Supplementary Figs S20, S21).</w:t>
      </w:r>
    </w:p>
    <w:bookmarkEnd w:id="22"/>
    <w:bookmarkStart w:id="23"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to define availability as where birdwatchers actually went and matching each event to 200 checklist-weighted controls from the same province and year. Conditioned in this way, the enrichment falls to an odds ratio of 1.71 (95% CI 1.39–2.11), and to 1.57 (1.26–1.96) after adding elevation, longitude and two bioclimatic covariates. Because within-site observation bias cannot be conditioned out, we treat 1.57 as an upper bound on any ecological contribution, and the operational conclusion is that counts of new records inside reserves should not be used as an indicator of reserve performance (Supplementary Note S10; Supplementary Figs S13–S15).</w:t>
      </w:r>
    </w:p>
    <w:bookmarkEnd w:id="23"/>
    <w:bookmarkEnd w:id="24"/>
    <w:bookmarkStart w:id="26"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Nor is the distance of the warming coefficient from unity the right measure of the species-specific signal: design-preserving nulls centre it on 1.157, so the increment attributable to referencing climate to each species’ own range is about 1.18.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effort is low, and two non-exclusive readings fit: sparsely surveyed provinces are disproportionately western and montane, with steep climatic gradients; densely surveyed ones have already absorbed much of their Wallacean shortfall. The declining marginal return of effort supports the second. Distinguishing them requires detection probability conditional on presence, which provincial compilations do not provide. Projected forward, future record counts depend far more on survey effort than on the emissions pathway.</w:t>
      </w:r>
    </w:p>
    <w:p>
      <w:pPr>
        <w:pStyle w:val="BodyText"/>
      </w:pPr>
      <w:r>
        <w:rPr>
          <w:b/>
          <w:bCs/>
        </w:rPr>
        <w:t xml:space="preserve">Projection is limited by covariate support, not by scenario availability.</w:t>
      </w:r>
      <w:r>
        <w:t xml:space="preserve"> </w:t>
      </w:r>
      <w:r>
        <w:t xml:space="preserve">A fitted hazard model can be pushed through CMIP6 surfaces to 2080 to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w:t>
      </w:r>
      <w:r>
        <w:rPr>
          <w:rStyle w:val="FootnoteReference"/>
        </w:rPr>
        <w:footnoteReference w:id="25"/>
      </w:r>
      <w:r>
        <w:t xml:space="preserve">^. Where that fraction is small, the honest product is a near-term surface with an explicit support mask, not a century-scale map.</w:t>
      </w:r>
    </w:p>
    <w:p>
      <w:pPr>
        <w:pStyle w:val="BodyText"/>
      </w:pPr>
      <w:r>
        <w:rPr>
          <w:b/>
          <w:bCs/>
        </w:rPr>
        <w:t xml:space="preserve">Implications for monitoring.</w:t>
      </w:r>
      <w:r>
        <w:t xml:space="preserve"> </w:t>
      </w:r>
      <w:r>
        <w:t xml:space="preserve">Because a single province-year shock of one standard deviation multiplies the hazard by 2.23, more than either driver, targeted survey campaigns have large and immediate effects on the biodiversity record and should be allocated deliberately rather than opportunistically — preferentially to under-covered, climatically dynamic provinces, where the negative interaction implies more new documentation per unit effort. Because the marginal return of effort has declined measurably within two decades, monitoring programmes should expect diminishing returns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26"/>
    <w:bookmarkStart w:id="27"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7"/>
    <w:bookmarkStart w:id="39" w:name="methods"/>
    <w:p>
      <w:pPr>
        <w:pStyle w:val="Heading2"/>
      </w:pPr>
      <w:r>
        <w:t xml:space="preserve">Methods</w:t>
      </w:r>
    </w:p>
    <w:bookmarkStart w:id="28"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8"/>
    <w:bookmarkStart w:id="29"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9"/>
    <w:bookmarkStart w:id="30"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30"/>
    <w:bookmarkStart w:id="31"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1"/>
    <w:bookmarkStart w:id="32"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2"/>
    <w:bookmarkStart w:id="33"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72,73,55</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3"/>
    <w:bookmarkStart w:id="34"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4"/>
    <w:bookmarkStart w:id="35"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78</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5"/>
    <w:bookmarkStart w:id="36"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36"/>
    <w:bookmarkStart w:id="37"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7"/>
    <w:bookmarkStart w:id="38"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38"/>
    <w:bookmarkEnd w:id="39"/>
    <w:bookmarkEnd w:id="40"/>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A1,A2</w:t>
      </w:r>
    </w:p>
  </w:footnote>
  <w:footnote w:id="25">
    <w:p>
      <w:pPr>
        <w:pStyle w:val="FootnoteText"/>
      </w:pPr>
      <w:r>
        <w:rPr>
          <w:rStyle w:val="FootnoteReference"/>
        </w:rPr>
        <w:footnoteRef/>
      </w:r>
      <w:r>
        <w:t xml:space="preserve"> </w:t>
      </w:r>
      <w:r>
        <w:t xml:space="preserve">A3–A5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2026-09-09T11:56:22Z</dcterms:created>
  <dcterms:modified xsi:type="dcterms:W3CDTF">2026-09-09T11:56:22Z</dcterms:modified>
</cp:coreProperties>
</file>

<file path=docProps/custom.xml><?xml version="1.0" encoding="utf-8"?>
<Properties xmlns="http://schemas.openxmlformats.org/officeDocument/2006/custom-properties" xmlns:vt="http://schemas.openxmlformats.org/officeDocument/2006/docPropsVTypes"/>
</file>