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supporting-information"/>
    <w:p>
      <w:pPr>
        <w:pStyle w:val="Heading1"/>
      </w:pPr>
      <w:r>
        <w:t xml:space="preserve">Supporting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5" w:name="supplementary-notes"/>
    <w:p>
      <w:pPr>
        <w:pStyle w:val="Heading2"/>
      </w:pPr>
      <w:r>
        <w:t xml:space="preserve">Supplementary Notes</w:t>
      </w:r>
    </w:p>
    <w:bookmarkStart w:id="9" w:name="Xd740edd007c7ebd7eca12030aeaa0e52f74d883"/>
    <w:p>
      <w:pPr>
        <w:pStyle w:val="Heading3"/>
      </w:pPr>
      <w:r>
        <w:t xml:space="preserve">Supplementary Note S1. Publication-lag stationarity and the reporting-completeness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(Figure 2a). Re-dating changes the assigned year of 526 of 633 comparable events (83.1%), with a median shift of −1 year and a mean of −1.83 years. The two dating conventions produce qualitatively different time series (Figure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44fac55f16d9c457a40420d218c3cc33af79052"/>
    <w:p>
      <w:pPr>
        <w:pStyle w:val="Heading3"/>
      </w:pPr>
      <w:r>
        <w:t xml:space="preserve">Supplementary Note S2.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(Fig. S3; Table S3).</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 (ΔAIC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(Fig. S3b).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(Fig. S3d).</w:t>
      </w:r>
    </w:p>
    <w:bookmarkEnd w:id="10"/>
    <w:bookmarkStart w:id="11" w:name="X4dc4df116055434db86a236be5169eb60a2811f"/>
    <w:p>
      <w:pPr>
        <w:pStyle w:val="Heading3"/>
      </w:pPr>
      <w:r>
        <w:t xml:space="preserve">Supplementary Note S3.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 (Figs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(Fig. S4a,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 (Fig. S4alt a, b; Table S6). Splitting taxonomically, range size acts within Passeriformes (1.53,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(Fig. S4c;</w:t>
      </w:r>
      <w:r>
        <w:t xml:space="preserve"> </w:t>
      </w:r>
      <w:r>
        <w:t xml:space="preserve">Table S4).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(Fig. S5a; Table S5).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(Fig. S5b).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(Fig. S5c).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1"/>
    <w:bookmarkStart w:id="12" w:name="X8a537a1a79f34e3a086bbdaa3964ee0a5b93b31"/>
    <w:p>
      <w:pPr>
        <w:pStyle w:val="Heading3"/>
      </w:pPr>
      <w:r>
        <w:t xml:space="preserve">Supplementary Note S4. Resampling and null models: implementation detail</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(Fig. S9;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(main text)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12"/>
    <w:bookmarkStart w:id="13" w:name="X25f744049df1a02689cb50c8578ec23c7b46869"/>
    <w:p>
      <w:pPr>
        <w:pStyle w:val="Heading3"/>
      </w:pPr>
      <w:r>
        <w:t xml:space="preserve">Supplementary Note S5. Robustness of the climate signal to window, baseline, source and indicator</w:t>
      </w:r>
    </w:p>
    <w:p>
      <w:pPr>
        <w:pStyle w:val="FirstParagraph"/>
      </w:pPr>
      <w:r>
        <w:t xml:space="preserve">The conclusions do not depend on any freely chosen analytical decision (Figure 3).</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(Table S8)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(Fig. S2b), and the interaction is negative throughout (0.87–1.00;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0d6889070eebc7801a04a7f1adc3cea04bee01d"/>
    <w:p>
      <w:pPr>
        <w:pStyle w:val="Heading3"/>
      </w:pPr>
      <w:r>
        <w:t xml:space="preserve">Supplementary Note S6. Records inside nature reserves: design, estimand ladder and limits</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4"/>
    <w:bookmarkEnd w:id="15"/>
    <w:bookmarkStart w:id="24" w:name="supplementary-tables"/>
    <w:p>
      <w:pPr>
        <w:pStyle w:val="Heading2"/>
      </w:pPr>
      <w:r>
        <w:t xml:space="preserve">Supplementary Tables</w:t>
      </w:r>
    </w:p>
    <w:bookmarkStart w:id="16"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16"/>
    <w:bookmarkStart w:id="17" w:name="X9be319956e693e62d7b2954b359ae9b908cba22"/>
    <w:p>
      <w:pPr>
        <w:pStyle w:val="Heading3"/>
      </w:pPr>
      <w:r>
        <w:t xml:space="preserve">Supplementary Table S2. Ecological rationale for every component of the main model</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7"/>
    <w:bookmarkStart w:id="18" w:name="X537af13e76a6dc4bd1d2aaf9043708b571645be"/>
    <w:p>
      <w:pPr>
        <w:pStyle w:val="Heading3"/>
      </w:pPr>
      <w:r>
        <w:t xml:space="preserve">Supplementary Table S3. Migratory stratification ladder and group-specific estimates</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18"/>
    <w:bookmarkStart w:id="19" w:name="Xb76b24067fa75a3a6765c48a762f2fc89e190e7"/>
    <w:p>
      <w:pPr>
        <w:pStyle w:val="Heading3"/>
      </w:pPr>
      <w:r>
        <w:t xml:space="preserve">Supplementary Table S4. Species-level range measures under phylogenetic logistic regression</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19"/>
    <w:bookmarkStart w:id="20" w:name="X15a261599579bf4b4d5f82a8eb5d69d72370f4b"/>
    <w:p>
      <w:pPr>
        <w:pStyle w:val="Heading3"/>
      </w:pPr>
      <w:r>
        <w:t xml:space="preserve">Supplementary Table S5. Province-level count and rate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0"/>
    <w:bookmarkStart w:id="21" w:name="X3098fd0484b2ce84c783f9d5180387da1545b91"/>
    <w:p>
      <w:pPr>
        <w:pStyle w:val="Heading3"/>
      </w:pPr>
      <w:r>
        <w:t xml:space="preserve">Supplementary Table S6. Species-level effects within taxonomic and migratory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1"/>
    <w:bookmarkStart w:id="22" w:name="Xc2fcfc540137dac7e8af882be7f0e32e7ebaa4a"/>
    <w:p>
      <w:pPr>
        <w:pStyle w:val="Heading3"/>
      </w:pPr>
      <w:r>
        <w:t xml:space="preserve">Supplementary Table S7. Risk-set bridge from the released compilation to the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2"/>
    <w:bookmarkStart w:id="23" w:name="X55e003c408a249d0f2159d45079defda01b0265"/>
    <w:p>
      <w:pPr>
        <w:pStyle w:val="Heading3"/>
      </w:pPr>
      <w:r>
        <w:t xml:space="preserve">Supplementary Table S8. Fine grid of accumulation windows (3–23 years), annual mean temperature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3"/>
    <w:bookmarkEnd w:id="24"/>
    <w:bookmarkStart w:id="70" w:name="supplementary-figures"/>
    <w:p>
      <w:pPr>
        <w:pStyle w:val="Heading2"/>
      </w:pPr>
      <w:r>
        <w:t xml:space="preserve">Supplementary Figures</w:t>
      </w:r>
    </w:p>
    <w:p>
      <w:pPr>
        <w:pStyle w:val="FirstParagraph"/>
      </w:pPr>
      <w:r>
        <w:drawing>
          <wp:inline>
            <wp:extent cx="5334000" cy="1877567"/>
            <wp:effectExtent b="0" l="0" r="0" t="0"/>
            <wp:docPr descr="" title="" id="26" name="Picture"/>
            <a:graphic>
              <a:graphicData uri="http://schemas.openxmlformats.org/drawingml/2006/picture">
                <pic:pic>
                  <pic:nvPicPr>
                    <pic:cNvPr descr="/Users/dingchenchen/Documents/New%20records/bird-new-distribution-records/tasks/bird_hazard_model_effort_upgrade_v2/analysis_v2/figures/Fig4_random_structure_v2.png" id="27" name="Picture"/>
                    <pic:cNvPicPr>
                      <a:picLocks noChangeArrowheads="1" noChangeAspect="1"/>
                    </pic:cNvPicPr>
                  </pic:nvPicPr>
                  <pic:blipFill>
                    <a:blip r:embed="rId25"/>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29"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0" name="Picture"/>
                    <pic:cNvPicPr>
                      <a:picLocks noChangeArrowheads="1" noChangeAspect="1"/>
                    </pic:cNvPicPr>
                  </pic:nvPicPr>
                  <pic:blipFill>
                    <a:blip r:embed="rId28"/>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2" name="Picture"/>
            <a:graphic>
              <a:graphicData uri="http://schemas.openxmlformats.org/drawingml/2006/picture">
                <pic:pic>
                  <pic:nvPicPr>
                    <pic:cNvPr descr="/Users/dingchenchen/Documents/New%20records/bird-new-distribution-records/tasks/bird_hazard_model_effort_upgrade_v2/analysis_v2/figures/Fig8_migratory_strategy_v2.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5" name="Picture"/>
            <a:graphic>
              <a:graphicData uri="http://schemas.openxmlformats.org/drawingml/2006/picture">
                <pic:pic>
                  <pic:nvPicPr>
                    <pic:cNvPr descr="/Users/dingchenchen/Documents/New%20records/bird-new-distribution-records/tasks/bird_hazard_model_effort_upgrade_v2/analysis_v2/figures/Fig9_species_level_v2.png" id="36" name="Picture"/>
                    <pic:cNvPicPr>
                      <a:picLocks noChangeArrowheads="1" noChangeAspect="1"/>
                    </pic:cNvPicPr>
                  </pic:nvPicPr>
                  <pic:blipFill>
                    <a:blip r:embed="rId34"/>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38" name="Picture"/>
            <a:graphic>
              <a:graphicData uri="http://schemas.openxmlformats.org/drawingml/2006/picture">
                <pic:pic>
                  <pic:nvPicPr>
                    <pic:cNvPr descr="/Users/dingchenchen/Documents/New%20records/bird-new-distribution-records/tasks/bird_hazard_model_effort_upgrade_v2/analysis_v2/figures/Fig10_province_level_v2.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1"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2" name="Picture"/>
                    <pic:cNvPicPr>
                      <a:picLocks noChangeArrowheads="1" noChangeAspect="1"/>
                    </pic:cNvPicPr>
                  </pic:nvPicPr>
                  <pic:blipFill>
                    <a:blip r:embed="rId40"/>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4" name="Picture"/>
            <a:graphic>
              <a:graphicData uri="http://schemas.openxmlformats.org/drawingml/2006/picture">
                <pic:pic>
                  <pic:nvPicPr>
                    <pic:cNvPr descr="/Users/dingchenchen/Documents/New%20records/bird-new-distribution-records/tasks/bird_hazard_model_effort_upgrade_v2/analysis_v2/figures_future/FigM2_future_ml_v2.png" id="45" name="Picture"/>
                    <pic:cNvPicPr>
                      <a:picLocks noChangeArrowheads="1" noChangeAspect="1"/>
                    </pic:cNvPicPr>
                  </pic:nvPicPr>
                  <pic:blipFill>
                    <a:blip r:embed="rId43"/>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p>
    <w:p>
      <w:pPr>
        <w:pStyle w:val="BodyText"/>
      </w:pPr>
      <w:r>
        <w:drawing>
          <wp:inline>
            <wp:extent cx="5334000" cy="1842654"/>
            <wp:effectExtent b="0" l="0" r="0" t="0"/>
            <wp:docPr descr="" title="" id="47"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48" name="Picture"/>
                    <pic:cNvPicPr>
                      <a:picLocks noChangeArrowheads="1" noChangeAspect="1"/>
                    </pic:cNvPicPr>
                  </pic:nvPicPr>
                  <pic:blipFill>
                    <a:blip r:embed="rId46"/>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0" name="Picture"/>
            <a:graphic>
              <a:graphicData uri="http://schemas.openxmlformats.org/drawingml/2006/picture">
                <pic:pic>
                  <pic:nvPicPr>
                    <pic:cNvPr descr="/Users/dingchenchen/Documents/New%20records/bird-new-distribution-records/tasks/bird_hazard_model_effort_upgrade_v2/analysis_v2/figures/FigS1_dharma_v2.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3" name="Picture"/>
            <a:graphic>
              <a:graphicData uri="http://schemas.openxmlformats.org/drawingml/2006/picture">
                <pic:pic>
                  <pic:nvPicPr>
                    <pic:cNvPr descr="/Users/dingchenchen/Documents/New%20records/bird-new-distribution-records/tasks/bird_hazard_model_effort_upgrade_v2/analysis_v2/figures_future/FigS3_future_unmasked_v2.png" id="54" name="Picture"/>
                    <pic:cNvPicPr>
                      <a:picLocks noChangeArrowheads="1" noChangeAspect="1"/>
                    </pic:cNvPicPr>
                  </pic:nvPicPr>
                  <pic:blipFill>
                    <a:blip r:embed="rId52"/>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56" name="Picture"/>
            <a:graphic>
              <a:graphicData uri="http://schemas.openxmlformats.org/drawingml/2006/picture">
                <pic:pic>
                  <pic:nvPicPr>
                    <pic:cNvPr descr="/Users/dingchenchen/Documents/New%20records/bird-new-distribution-records/tasks/bird_hazard_model_effort_upgrade_v2/analysis_v2/figures/FigS5_resampling_v2.png" id="57" name="Picture"/>
                    <pic:cNvPicPr>
                      <a:picLocks noChangeArrowheads="1" noChangeAspect="1"/>
                    </pic:cNvPicPr>
                  </pic:nvPicPr>
                  <pic:blipFill>
                    <a:blip r:embed="rId55"/>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59" name="Picture"/>
            <a:graphic>
              <a:graphicData uri="http://schemas.openxmlformats.org/drawingml/2006/picture">
                <pic:pic>
                  <pic:nvPicPr>
                    <pic:cNvPr descr="/Users/dingchenchen/Documents/New%20records/bird-new-distribution-records/tasks/bird_hazard_model_effort_upgrade_v2/analysis_v2/figures_pa/FigP1_pa_enrichment.png" id="60" name="Picture"/>
                    <pic:cNvPicPr>
                      <a:picLocks noChangeArrowheads="1" noChangeAspect="1"/>
                    </pic:cNvPicPr>
                  </pic:nvPicPr>
                  <pic:blipFill>
                    <a:blip r:embed="rId58"/>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falling inside the 1,028 mapped reserves.</w:t>
      </w:r>
      <w:r>
        <w:t xml:space="preserve"> </w:t>
      </w:r>
      <w:r>
        <w:rPr>
          <w:b/>
          <w:bCs/>
        </w:rPr>
        <w:t xml:space="preserve">b</w:t>
      </w:r>
      <w:r>
        <w:t xml:space="preserve">, Conditional logistic estimand ladder matching each event to 200 same-province same-year checklist-weighted control locations.</w:t>
      </w:r>
      <w:r>
        <w:t xml:space="preserve"> </w:t>
      </w:r>
      <w:r>
        <w:rPr>
          <w:b/>
          <w:bCs/>
        </w:rPr>
        <w:t xml:space="preserve">c</w:t>
      </w:r>
      <w:r>
        <w:t xml:space="preserve">, Robustness: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2" name="Picture"/>
            <a:graphic>
              <a:graphicData uri="http://schemas.openxmlformats.org/drawingml/2006/picture">
                <pic:pic>
                  <pic:nvPicPr>
                    <pic:cNvPr descr="/Users/dingchenchen/Documents/New%20records/bird-new-distribution-records/tasks/bird_hazard_model_effort_upgrade_v2/analysis_v2/figures_pa/FigP2_pa_persistence.png" id="63" name="Picture"/>
                    <pic:cNvPicPr>
                      <a:picLocks noChangeArrowheads="1" noChangeAspect="1"/>
                    </pic:cNvPicPr>
                  </pic:nvPicPr>
                  <pic:blipFill>
                    <a:blip r:embed="rId61"/>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the pre-declared equivalence bounds.</w:t>
      </w:r>
    </w:p>
    <w:p>
      <w:pPr>
        <w:pStyle w:val="BodyText"/>
      </w:pPr>
      <w:r>
        <w:drawing>
          <wp:inline>
            <wp:extent cx="5334000" cy="3974352"/>
            <wp:effectExtent b="0" l="0" r="0" t="0"/>
            <wp:docPr descr="" title="" id="65" name="Picture"/>
            <a:graphic>
              <a:graphicData uri="http://schemas.openxmlformats.org/drawingml/2006/picture">
                <pic:pic>
                  <pic:nvPicPr>
                    <pic:cNvPr descr="/Users/dingchenchen/Documents/New%20records/bird-new-distribution-records/tasks/bird_hazard_model_effort_upgrade_v2/analysis_v2/figures_pa/FigP3_pa_mismatch_monitoring.png" id="66" name="Picture"/>
                    <pic:cNvPicPr>
                      <a:picLocks noChangeArrowheads="1" noChangeAspect="1"/>
                    </pic:cNvPicPr>
                  </pic:nvPicPr>
                  <pic:blipFill>
                    <a:blip r:embed="rId64"/>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 and the monitoring gap decomposes into graftable and non-graftable areas.</w:t>
      </w:r>
      <w:r>
        <w:t xml:space="preserve"> </w:t>
      </w:r>
      <w:r>
        <w:rPr>
          <w:b/>
          <w:bCs/>
        </w:rPr>
        <w:t xml:space="preserve">a</w:t>
      </w:r>
      <w:r>
        <w:t xml:space="preserve">, Area-weighted reserve coverage across warming quintiles under the provincial-broadcast and the recomputed cell-level warming fields.</w:t>
      </w:r>
      <w:r>
        <w:t xml:space="preserve"> </w:t>
      </w:r>
      <w:r>
        <w:rPr>
          <w:b/>
          <w:bCs/>
        </w:rPr>
        <w:t xml:space="preserve">b</w:t>
      </w:r>
      <w:r>
        <w:t xml:space="preserve">, Stratified permutation test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5626273"/>
            <wp:effectExtent b="0" l="0" r="0" t="0"/>
            <wp:docPr descr="" title="" id="68" name="Picture"/>
            <a:graphic>
              <a:graphicData uri="http://schemas.openxmlformats.org/drawingml/2006/picture">
                <pic:pic>
                  <pic:nvPicPr>
                    <pic:cNvPr descr="/Users/dingchenchen/Documents/New%20records/bird-new-distribution-records/tasks/bird_hazard_model_effort_upgrade_v2/analysis_v2/figures_direction/combined/order_direction_radar_facets.png" id="69" name="Picture"/>
                    <pic:cNvPicPr>
                      <a:picLocks noChangeArrowheads="1" noChangeAspect="1"/>
                    </pic:cNvPicPr>
                  </pic:nvPicPr>
                  <pic:blipFill>
                    <a:blip r:embed="rId67"/>
                    <a:stretch>
                      <a:fillRect/>
                    </a:stretch>
                  </pic:blipFill>
                  <pic:spPr bwMode="auto">
                    <a:xfrm>
                      <a:off x="0" y="0"/>
                      <a:ext cx="5334000" cy="5626273"/>
                    </a:xfrm>
                    <a:prstGeom prst="rect">
                      <a:avLst/>
                    </a:prstGeom>
                    <a:noFill/>
                    <a:ln w="9525">
                      <a:noFill/>
                      <a:headEnd/>
                      <a:tailEnd/>
                    </a:ln>
                  </pic:spPr>
                </pic:pic>
              </a:graphicData>
            </a:graphic>
          </wp:inline>
        </w:drawing>
      </w:r>
    </w:p>
    <w:p>
      <w:pPr>
        <w:pStyle w:val="BodyText"/>
      </w:pPr>
      <w:r>
        <w:rPr>
          <w:b/>
          <w:bCs/>
        </w:rPr>
        <w:t xml:space="preserve">Fig. S15 | Per-order directionality of new records relative to species’ range centroids.</w:t>
      </w:r>
      <w:r>
        <w:t xml:space="preserve"> </w:t>
      </w:r>
      <w:r>
        <w:t xml:space="preserve">Wind-rose panels for the sixteen orders, each carrying its number of records and species.</w:t>
      </w:r>
    </w:p>
    <w:bookmarkEnd w:id="70"/>
    <w:bookmarkEnd w:id="71"/>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image" Target="media/rId37.png"/><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49" Type="http://schemas.openxmlformats.org/officeDocument/2006/relationships/image" Target="media/rId49.png"/><Relationship Id="rId55" Type="http://schemas.openxmlformats.org/officeDocument/2006/relationships/image" Target="media/rId55.png"/><Relationship Id="rId67" Type="http://schemas.openxmlformats.org/officeDocument/2006/relationships/image" Target="media/rId6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52" Type="http://schemas.openxmlformats.org/officeDocument/2006/relationships/image" Target="media/rId52.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2026-08-15T23:15:24Z</dcterms:created>
  <dcterms:modified xsi:type="dcterms:W3CDTF">2026-08-15T23:15:24Z</dcterms:modified>
</cp:coreProperties>
</file>

<file path=docProps/custom.xml><?xml version="1.0" encoding="utf-8"?>
<Properties xmlns="http://schemas.openxmlformats.org/officeDocument/2006/custom-properties" xmlns:vt="http://schemas.openxmlformats.org/officeDocument/2006/docPropsVTypes"/>
</file>