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375d79c841bc0027eb180376c96c2db5ee86b3d"/>
    <w:p>
      <w:pPr>
        <w:pStyle w:val="Heading1"/>
      </w:pPr>
      <w:r>
        <w:t xml:space="preserve">Warming and survey effort contribute comparably to the generation of new bird distribution records once records are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dingchenchen@pku.edu.cn</w:t>
      </w:r>
    </w:p>
    <w:bookmarkStart w:id="9" w:name="abstract"/>
    <w:p>
      <w:pPr>
        <w:pStyle w:val="Heading2"/>
      </w:pPr>
      <w:r>
        <w:t xml:space="preserve">Abstract</w:t>
      </w:r>
    </w:p>
    <w:p>
      <w:pPr>
        <w:pStyle w:val="FirstParagraph"/>
      </w:pPr>
      <w:r>
        <w:t xml:space="preserve">New distribution records, from which range shifts are inferred, arise only when a species is present, someone is looking, and the observation is written up. Here we build a species × province × year risk set for 1,029 new bird records in China (2002–2024) and model the annual hazard of a first record with a discrete-time proportional-hazards formulation. Dating records to publication rather than discovery biases inference: publication lags discovery by a mean of 2.09 years, re-dating changes the year of 83.1% of events, and cuts the survey-effort coefficient by 37% while leaving accumulated warming unchanged. After correction, accumulated warming relative to a species’ historical range (hazard ratio 1.36 per SD, 95% CI 1.22–1.52) and survey effort (1.40, 1.25–1.58) contribute comparably and interact negatively (0.85, 0.76–0.95). Design-preserving permutation nulls place both outside their nulls (P = 0.005), but the warming null is centred on 1.157, not unity, so the increment from species-specific referencing is about 1.18; the effort effect collapses to 0.980 when its temporal alignment with events is broken. A province-by-year random intercept, the largest variance component, raises conditional discrimination from 0.72 to 0.85 and conditional R² from 0.27 to 0.41. The marginal return on effort declines from 2.18 in 2002 to 1.07 in 2024 while the warming effect does not; new records fall disproportionately east (36.9%) and north-east (27.9%) of species’ range centroids. Documented range gains reflect climate and observation in roughly equal measure, and the date attached to a record determines which appears to dominate.</w:t>
      </w:r>
    </w:p>
    <w:bookmarkEnd w:id="9"/>
    <w:bookmarkStart w:id="10" w:name="introduction"/>
    <w:p>
      <w:pPr>
        <w:pStyle w:val="Heading2"/>
      </w:pPr>
      <w:r>
        <w:t xml:space="preserve">Introduction</w:t>
      </w:r>
    </w:p>
    <w:p>
      <w:pPr>
        <w:pStyle w:val="FirstParagraph"/>
      </w:pPr>
      <w:r>
        <w:t xml:space="preserve">Documented species distributions are a joint product of where organisms occur and where people look (Hortal et al., 2015; Diniz-Filho et al., 2023; Moura &amp; Jetz, 2021; Oliver et al., 2021). This has been recognised for decades, and yet the inferential consequences remain incompletely handled in the literature on climate-driven range shifts (Parmesan &amp; Yohe, 2003; Chen et al., 2011; Lenoir &amp; Svenning, 2015; Pecl et al., 2017). When a species is reported for the first time from an administrative unit, the record is often read as evidence of range expansion; but the same record is equally consistent with a long-standing population that has only now been detected, or with a stable population in a region whose observer base has recently grown (Hughes et al., 2021; Tingley &amp; Beissinger, 2009; Boakes et al., 2010; Bowler et al., 2025). Which of these readings is correct determines whether a body of records constitutes evidence of biodiversity redistribution or of the filling of the Wallacean shortfall (Hortal et al., 2015; Diniz-Filho et al., 2023).</w:t>
      </w:r>
    </w:p>
    <w:p>
      <w:pPr>
        <w:pStyle w:val="BodyText"/>
      </w:pPr>
      <w:r>
        <w:t xml:space="preserve">China offers unusual leverage on this problem: over the past two decades the country has warmed rapidly while its birdwatching community expanded from a few thousand to hundreds of thousands of participants, and a national compilation of provincial-level new bird records now exists with dates of discovery as well as of publication (Chen et al., 2025; Ding et al., in review; Xing et al., 2024). The simultaneous expansion of the climatic and the observational signal is what makes the attribution hard, and what makes a formal risk-set analysis necessary.</w:t>
      </w:r>
    </w:p>
    <w:p>
      <w:pPr>
        <w:pStyle w:val="BodyText"/>
      </w:pPr>
      <w:r>
        <w:t xml:space="preserve">Three specific gaps motivate this study.</w:t>
      </w:r>
    </w:p>
    <w:p>
      <w:pPr>
        <w:pStyle w:val="BodyText"/>
      </w:pPr>
      <w:r>
        <w:rPr>
          <w:b/>
          <w:bCs/>
        </w:rPr>
        <w:t xml:space="preserve">First, the temporal alignment of events has not been examined.</w:t>
      </w:r>
      <w:r>
        <w:t xml:space="preserve"> </w:t>
      </w:r>
      <w:r>
        <w:t xml:space="preserve">Records compiled from the literature carry two dates: when the bird was seen, and when the paper appeared. Almost all analyses of such compilations use the latter, because it is the field that primary sources reliably report. Publication lag is not a small, random offset; it is a right-skewed delay with a mean above two years that, critically, is correlated in aggregate with the growth of the observational infrastructure. Aligning an event to the year of publication therefore aligns it to a year in which the effort database was systematically larger, manufacturing covariance between effort and event occurrence.</w:t>
      </w:r>
    </w:p>
    <w:p>
      <w:pPr>
        <w:pStyle w:val="BodyText"/>
      </w:pPr>
      <w:r>
        <w:rPr>
          <w:b/>
          <w:bCs/>
        </w:rPr>
        <w:t xml:space="preserve">Second, the observation process operates at a spatiotemporal scale that most models do not represent.</w:t>
      </w:r>
      <w:r>
        <w:t xml:space="preserve"> </w:t>
      </w:r>
      <w:r>
        <w:t xml:space="preserve">Regional survey campaigns, provincial birdwatching festivals, new protected areas and local reporting channels act at the level of a particular province in a particular year. A model with species and region random intercepts, the conventional choice (Brooks et al., 2017), cannot absorb this variation; it leaks into the fixed effects and inflates whichever covariate happens to trend with observational capacity.</w:t>
      </w:r>
    </w:p>
    <w:p>
      <w:pPr>
        <w:pStyle w:val="BodyText"/>
      </w:pPr>
      <w:r>
        <w:rPr>
          <w:b/>
          <w:bCs/>
        </w:rPr>
        <w:t xml:space="preserve">Third, projections of future record generation have been made without checking whether the scenarios lie inside the fitted data.</w:t>
      </w:r>
      <w:r>
        <w:t xml:space="preserve"> </w:t>
      </w:r>
      <w:r>
        <w:t xml:space="preserve">Species-specific climate gradients are differences between two anomalies that largely covary, so their historical standard deviation is small. Future warming differentials between a province and a species’ range are not small. The ratio between the two determines how far any projection extrapolates, and this ratio has not been reported.</w:t>
      </w:r>
    </w:p>
    <w:p>
      <w:pPr>
        <w:pStyle w:val="BodyText"/>
      </w:pPr>
      <w:r>
        <w:t xml:space="preserve">Here we address all three. We construct a complete risk set of every species × province × year cell in which a new record could have occurred, and model the annual hazard with a complementary log-log link, the discrete-time analogue of a proportional-hazards model (Allison, 1982; Singer &amp; Willett, 1993). We re-date every event to its year of discovery, correct the resulting right-censoring with an explicit reporting-completeness offset, treat structurally implausible zeros in the effort database as coverage gaps rather than true absences, and add a province-by-year random intercept. We then quantify each correction with a step-by-step decomposition in which exactly one thing changes at a time.</w:t>
      </w:r>
    </w:p>
    <w:p>
      <w:pPr>
        <w:pStyle w:val="BodyText"/>
      </w:pPr>
      <w:r>
        <w:t xml:space="preserve">We ask three questions. (i) How large is the bias introduced by publication-year dating, and which coefficients does it affect? (ii) Once corrected, what are the relative contributions of accumulated warming and survey effort to the hazard of a new record, and do they interact? (iii) Over what range of future conditions can the fitted relationship legitimately be projected? We hypothesised that effort would dominate, as reported previously (Ding et al., 2025; Xing et al., 2024), and that the climate signal would be modest; both expectations proved wrong in an informative way.</w:t>
      </w:r>
    </w:p>
    <w:bookmarkEnd w:id="10"/>
    <w:bookmarkStart w:id="21" w:name="materials-and-methods"/>
    <w:p>
      <w:pPr>
        <w:pStyle w:val="Heading2"/>
      </w:pPr>
      <w:r>
        <w:t xml:space="preserve">Materials and Methods</w:t>
      </w:r>
    </w:p>
    <w:bookmarkStart w:id="11" w:name="event-data-and-dating"/>
    <w:p>
      <w:pPr>
        <w:pStyle w:val="Heading3"/>
      </w:pPr>
      <w:r>
        <w:t xml:space="preserve">Event data and dating</w:t>
      </w:r>
    </w:p>
    <w:p>
      <w:pPr>
        <w:pStyle w:val="FirstParagraph"/>
      </w:pPr>
      <w:r>
        <w:t xml:space="preserve">New provincial-level bird distribution records for China were taken from the released compilation of 1,029 records covering 2000–2025 (Ding et al., in review).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11"/>
    <w:bookmarkStart w:id="12"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12"/>
    <w:bookmarkStart w:id="13"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13"/>
    <w:bookmarkStart w:id="14"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 (Harris et al., 2020; Fick &amp; Hijmans, 2017).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14"/>
    <w:bookmarkStart w:id="15" w:name="survey-effort"/>
    <w:p>
      <w:pPr>
        <w:pStyle w:val="Heading3"/>
      </w:pPr>
      <w:r>
        <w:t xml:space="preserve">Survey effort</w:t>
      </w:r>
    </w:p>
    <w:p>
      <w:pPr>
        <w:pStyle w:val="FirstParagraph"/>
      </w:pPr>
      <w:r>
        <w:t xml:space="preserve">Provincial annual survey effort was compiled from integrated observation records and expressed through four proxies: number of visits, number of distinct observers, number of birding days and number of records.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w:t>
      </w:r>
    </w:p>
    <w:bookmarkEnd w:id="15"/>
    <w:bookmarkStart w:id="16"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 (Allison, 1982; Singer &amp; Willett, 1993; Brooks et al., 2017):</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 (Brooks et al., 2017).</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 (Nakagawa &amp; Schielzeth, 2013), and marginal and conditional AUC); variance-component identifiability; and the ecological interpretability of each term. The structure reported above was frozen before the robustness analyses were run.</w:t>
      </w:r>
    </w:p>
    <w:bookmarkEnd w:id="16"/>
    <w:bookmarkStart w:id="17"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17"/>
    <w:bookmarkStart w:id="18" w:name="diagnostics"/>
    <w:p>
      <w:pPr>
        <w:pStyle w:val="Heading3"/>
      </w:pPr>
      <w:r>
        <w:t xml:space="preserve">Diagnostics</w:t>
      </w:r>
    </w:p>
    <w:p>
      <w:pPr>
        <w:pStyle w:val="FirstParagraph"/>
      </w:pPr>
      <w:r>
        <w:t xml:space="preserve">Residual diagnostics used simulation-based scaled residuals with 500 simulations (Hartig, 2024):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18"/>
    <w:bookmarkStart w:id="19"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 A gradient-boosted comparison model (XGBoost, 400 rounds, learning rate 0.05, depth 4) (Chen &amp; Guestrin, 2016) was trained on the same three predictors, and exact TreeSHAP attributions were computed for interpretation (Lundberg et al., 2020).</w:t>
      </w:r>
    </w:p>
    <w:bookmarkEnd w:id="19"/>
    <w:bookmarkStart w:id="20" w:name="data-and-code-availability"/>
    <w:p>
      <w:pPr>
        <w:pStyle w:val="Heading3"/>
      </w:pPr>
      <w:r>
        <w:t xml:space="preserve">Data and code availability</w:t>
      </w:r>
    </w:p>
    <w:p>
      <w:pPr>
        <w:pStyle w:val="FirstParagraph"/>
      </w:pPr>
      <w:r>
        <w:t xml:space="preserve">All modelling data, analysis code, result tables, figures in four formats including editable PowerPoint, and this manuscript are archived in the accompanying repository. Species range polygons (BirdLife International) and CRU TS climate surfaces are third-party licensed and are not redistributed; paths to local copies are configured in</w:t>
      </w:r>
      <w:r>
        <w:t xml:space="preserve"> </w:t>
      </w:r>
      <w:r>
        <w:rPr>
          <w:rStyle w:val="VerbatimChar"/>
        </w:rPr>
        <w:t xml:space="preserve">config.R</w:t>
      </w:r>
      <w:r>
        <w:t xml:space="preserve">. A smoke test reproduces the headline coefficients from the shipped data in approximately two minutes.</w:t>
      </w:r>
    </w:p>
    <w:p>
      <w:r>
        <w:pict>
          <v:rect style="width:0;height:1.5pt" o:hralign="center" o:hrstd="t" o:hr="t"/>
        </w:pict>
      </w:r>
    </w:p>
    <w:bookmarkEnd w:id="20"/>
    <w:bookmarkEnd w:id="21"/>
    <w:bookmarkStart w:id="35" w:name="results"/>
    <w:p>
      <w:pPr>
        <w:pStyle w:val="Heading2"/>
      </w:pPr>
      <w:r>
        <w:t xml:space="preserve">Results</w:t>
      </w:r>
    </w:p>
    <w:bookmarkStart w:id="22" w:name="the-risk-set-and-the-dating-problem"/>
    <w:p>
      <w:pPr>
        <w:pStyle w:val="Heading3"/>
      </w:pPr>
      <w:r>
        <w:t xml:space="preserve">The risk set and the dating problem</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(Supplementary Table S7). Twenty-six records were discovered before 2002 and therefore describe species already present at the start of the window; because such pairs are prevalent rather than incident cases, we removed them from the risk set entirely rather than treating them as censored. Conversely, eleven species × province pairs whose records were published in 2025 but discovered by 2024 re-enter the analysis under discovery-year dating.</w:t>
      </w:r>
    </w:p>
    <w:p>
      <w:pPr>
        <w:pStyle w:val="BodyText"/>
      </w:pPr>
      <w:r>
        <w:t xml:space="preserve">Publication lags discovery by a median of one year and a mean of 2.09 years; 81.7% of records lag by at least one year and 26.8% by three or more (Figure 2a). Re-dating changes the assigned year of 526 of 633 comparable events (83.1%), with a median shift of −1 year and a mean of −1.83 years. The two dating conventions produce qualitatively different time series (Figure 2b): the publication-year series rises monotonically to 67 events in 2024, whereas the discovery-year series peaks at 59 in 2019 and falls to 14 in 2024. Neither series is a clean description of reality — the publication-year rise is an artefact of aggregating delayed reports, and the discovery-year fall is right-censoring, because records made in 2023–2024 have not yet appeared in print.</w:t>
      </w:r>
    </w:p>
    <w:p>
      <w:pPr>
        <w:pStyle w:val="BodyText"/>
      </w:pPr>
      <w:r>
        <w:t xml:space="preserve">We quantified the censoring directly. The compilation extends to publications appearing in 2025, so a record discovered in year</w:t>
      </w:r>
      <w:r>
        <w:t xml:space="preserve"> </w:t>
      </w:r>
      <w:r>
        <w:rPr>
          <w:i/>
          <w:iCs/>
        </w:rPr>
        <w:t xml:space="preserve">t</w:t>
      </w:r>
      <w:r>
        <w:t xml:space="preserve"> </w:t>
      </w:r>
      <w:r>
        <w:t xml:space="preserve">can only have been observed if its lag is at most 2025 −</w:t>
      </w:r>
      <w:r>
        <w:t xml:space="preserve"> </w:t>
      </w:r>
      <w:r>
        <w:rPr>
          <w:i/>
          <w:iCs/>
        </w:rPr>
        <w:t xml:space="preserve">t</w:t>
      </w:r>
      <w:r>
        <w:t xml:space="preserve">. Using the pooled empirical lag distribution, the expected share of discoveries already reported falls from 99.7% for 2002 to 89.5% for 2021, 83.4% for 2022, 73.2% for 2023 and 56.7% for 2024. Pooling is justified because publication lag is stationary across discovery years, and because the observed hazard under incomplete reporting is approximately the product of the true hazard and the completeness</w:t>
      </w:r>
      <w:r>
        <w:t xml:space="preserve"> </w:t>
      </w:r>
      <w:r>
        <w:rPr>
          <w:i/>
          <w:iCs/>
        </w:rPr>
        <w:t xml:space="preserve">c</w:t>
      </w:r>
      <w:r>
        <w:t xml:space="preserve">(</w:t>
      </w:r>
      <w:r>
        <w:rPr>
          <w:i/>
          <w:iCs/>
        </w:rPr>
        <w:t xml:space="preserve">t</w:t>
      </w:r>
      <w:r>
        <w:t xml:space="preserve">), the complementary log-log link makes</w:t>
      </w:r>
      <w:r>
        <w:t xml:space="preserve"> </w:t>
      </w:r>
      <w:r>
        <w:rPr>
          <w:i/>
          <w:iCs/>
        </w:rPr>
        <w:t xml:space="preserve">c</w:t>
      </w:r>
      <w:r>
        <w:t xml:space="preserve">(</w:t>
      </w:r>
      <w:r>
        <w:rPr>
          <w:i/>
          <w:iCs/>
        </w:rPr>
        <w:t xml:space="preserve">t</w:t>
      </w:r>
      <w:r>
        <w:t xml:space="preserve">) enter the linear predictor exactly as an offset log</w:t>
      </w:r>
      <w:r>
        <w:t xml:space="preserve"> </w:t>
      </w:r>
      <w:r>
        <w:rPr>
          <w:i/>
          <w:iCs/>
        </w:rPr>
        <w:t xml:space="preserve">c</w:t>
      </w:r>
      <w:r>
        <w:t xml:space="preserve">(</w:t>
      </w:r>
      <w:r>
        <w:rPr>
          <w:i/>
          <w:iCs/>
        </w:rPr>
        <w:t xml:space="preserve">t</w:t>
      </w:r>
      <w:r>
        <w:t xml:space="preserve">); the stationarity tests and the algebra are given in Supplementary Note S1. We include this offset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w:t>
      </w:r>
    </w:p>
    <w:bookmarkEnd w:id="22"/>
    <w:bookmarkStart w:id="23"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changing exactly one thing at each (Figure 2c; Table 1).</w:t>
      </w:r>
    </w:p>
    <w:p>
      <w:pPr>
        <w:pStyle w:val="BodyText"/>
      </w:pPr>
      <w:r>
        <w:t xml:space="preserve">Re-dating alone moves the survey-effort hazard ratio from 1.788 to 1.305, a reduction of 37% in the excess hazard,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is essentially untouched (1.394 → 1.437), as is the interaction (0.876 → 0.859). The remaining corrections are comparatively minor: treating structural zeros in the effort database as coverage gaps moves effort by −0.038; area-weighting the provincial climate series moves it by +0.022; the completeness offset restores +0.159, recovering signal that right-censoring had attenuated; and the province-by-year random intercept removes a further 0.044.</w:t>
      </w:r>
    </w:p>
    <w:p>
      <w:pPr>
        <w:pStyle w:val="BodyText"/>
      </w:pPr>
      <w:r>
        <w:t xml:space="preserve">The mechanism is transparent. Publication year and the size of the observational database both increase through time, so assigning an event to its publication year places it in a cell whose recorded effort is systematically higher than the effort that actually generated the observation. This inflates the effort coefficient. It also decorrelates the event from the weather of the year in which the bird was actually seen, which is why a spurious negative coefficient on annual climate variability appears under publication-year dating and disappears under discovery-year dating. Accumulated warming, being a fifteen-year trailing mean, is robust to a shift of one or two years — which is exactly why it survives the correction unchanged.</w:t>
      </w:r>
    </w:p>
    <w:bookmarkEnd w:id="23"/>
    <w:bookmarkStart w:id="24"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(Figure 1a; Table 2).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(Figure 1b).</w:t>
      </w:r>
    </w:p>
    <w:p>
      <w:pPr>
        <w:pStyle w:val="BodyText"/>
      </w:pPr>
      <w:r>
        <w:t xml:space="preserve">Two qualifications apply to these effect sizes. First, the reference point for the warming coefficient is not unity. Permuting accumulated warming among species within a province-year, or permuting the event indicator among the species at risk in a province-year, still returns a hazard ratio of 1.157–1.167, because both permutations preserve the covariance between provincial-annual climate and provincial-annual event counts. The observed 1.362 lies outside that null distribution (</w:t>
      </w:r>
      <w:r>
        <w:rPr>
          <w:i/>
          <w:iCs/>
        </w:rPr>
        <w:t xml:space="preserve">P</w:t>
      </w:r>
      <w:r>
        <w:t xml:space="preserve"> </w:t>
      </w:r>
      <w:r>
        <w:t xml:space="preserve">= 0.005 in both cases), but the increment attributable to the species-specific referencing is 1.362/1.157 ≈ 1.18 rather than 1.36; the remainder is a structural baseline shared with the null. The effort coefficient behaves differently: permuting effort across years within a province collapses it to 0.980, with the null 95% interval covering unity, so it derives from the temporal alignment of effort and events rather than from any cross-sectional contrast between well- and poorly surveyed provinces. Second, the Wald intervals are slightly narrow with respect to provincial clustering. A cluster bootstrap resampling provinces widens them to 1.20–1.72 for warming and 1.21–1.76 for effort; both lower bounds still exceed unity, and the interaction remains bounded away from it (0.74–0.99). Resampling species instead leaves the intervals essentially unchanged, so species-level clustering is already absorbed by the random effects.</w:t>
      </w:r>
    </w:p>
    <w:p>
      <w:pPr>
        <w:pStyle w:val="BodyText"/>
      </w:pPr>
      <w:r>
        <w:t xml:space="preserve">Because standardised coefficients are hard to picture, we report both in natural units (Figure 4c). One standard deviation of accumulated warming is</w:t>
      </w:r>
      <w:r>
        <w:t xml:space="preserve"> </w:t>
      </w:r>
      <w:r>
        <w:rPr>
          <w:b/>
          <w:bCs/>
        </w:rPr>
        <w:t xml:space="preserve">0.179 °C</w:t>
      </w:r>
      <w:r>
        <w:t xml:space="preserve">: a province that has warmed by that much more than a species’ own historical Chinese range carries a 36% higher annual hazard for that species. Across the observed range of the variable, −0.65 °C to +0.61 °C, the implied hazard spans roughly ninefold. One standard deviation of survey effort corresponds to a</w:t>
      </w:r>
      <w:r>
        <w:t xml:space="preserve"> </w:t>
      </w:r>
      <w:r>
        <w:rPr>
          <w:b/>
          <w:bCs/>
        </w:rPr>
        <w:t xml:space="preserve">7.75-fold</w:t>
      </w:r>
      <w:r>
        <w:t xml:space="preserve"> </w:t>
      </w:r>
      <w:r>
        <w:t xml:space="preserve">increase in annual provincial visits, from a median of 60 visits per year to about 465. A negative value of the climate variable means the province has warmed</w:t>
      </w:r>
      <w:r>
        <w:t xml:space="preserve"> </w:t>
      </w:r>
      <w:r>
        <w:rPr>
          <w:i/>
          <w:iCs/>
        </w:rPr>
        <w:t xml:space="preserve">less</w:t>
      </w:r>
      <w:r>
        <w:t xml:space="preserve"> </w:t>
      </w:r>
      <w:r>
        <w:t xml:space="preserve">than the species’ range, and such cells carry a correspondingly lower hazard.</w:t>
      </w:r>
    </w:p>
    <w:p>
      <w:pPr>
        <w:pStyle w:val="BodyText"/>
      </w:pPr>
      <w:r>
        <w:t xml:space="preserve">The climate variable is genuinely species-specific, not a relabelled regional index (Figure 4a, b). Decomposing its variance, 39% of the variation in accumulated warming and 55% of the variation in the raw gradient arise</w:t>
      </w:r>
      <w:r>
        <w:t xml:space="preserve"> </w:t>
      </w:r>
      <w:r>
        <w:rPr>
          <w:i/>
          <w:iCs/>
        </w:rPr>
        <w:t xml:space="preserve">within</w:t>
      </w:r>
      <w:r>
        <w:t xml:space="preserve"> </w:t>
      </w:r>
      <w:r>
        <w:t xml:space="preserve">province-years, that is, purely from differences among species. In Yunnan in 2020, for example,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cannot make that distinction and therefore cannot say which species should appear where.</w:t>
      </w:r>
    </w:p>
    <w:p>
      <w:pPr>
        <w:pStyle w:val="BodyText"/>
      </w:pPr>
      <w:r>
        <w:t xml:space="preserve">Four independent importance criteria agree that warming and effort are of comparable weight, with warming slightly ahead on discrimination (Figure 1c). Dropping accumulated warming costs 28.7 AIC units and 0.053 of marginal AUC; dropping survey effort costs 29.5 AIC units and 0.032 of marginal AUC. The interaction costs 6.5 AIC units. Annual variability costs −2.0 AIC units, that is, the model is marginally better without it; we retain it because it is one half of a pre-specified decomposition and its null result is itself informative.</w:t>
      </w:r>
    </w:p>
    <w:p>
      <w:pPr>
        <w:pStyle w:val="BodyText"/>
      </w:pPr>
      <w:r>
        <w:t xml:space="preserve">The discrimination ladder makes the point (Figure 1d). With the random structure held at the main model, fixed-effect-only AUC rises from 0.411 for the null model to 0.559 with effort alone, 0.580 with accumulated warming alone, and 0.610 with both. Climate alone discriminates better than effort alone; neither alone approaches the pair.</w:t>
      </w:r>
    </w:p>
    <w:bookmarkEnd w:id="24"/>
    <w:bookmarkStart w:id="25"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rather than AIC alone (Table 3; Supplementary Fig. S1).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Crucially, marginal AUC — the discrimination attributable to fixed effects — is flat across all six structures (0.607–0.613), confirming that the random structure absorbs observational heterogeneity without redistributing the fixed-effect signal.</w:t>
      </w:r>
    </w:p>
    <w:p>
      <w:pPr>
        <w:pStyle w:val="BodyText"/>
      </w:pPr>
      <w:r>
        <w:t xml:space="preserve">Two further structures were tested. A species-specific random slope on accumulated warming (ΔAIC 4.5 relative to the best) and a province-specific random slope on effort (ΔAIC 0.0, the AIC optimum) both fit marginally better, but both</w:t>
      </w:r>
      <w:r>
        <w:t xml:space="preserve"> </w:t>
      </w:r>
      <w:r>
        <w:rPr>
          <w:i/>
          <w:iCs/>
        </w:rPr>
        <w:t xml:space="preserve">reduce</w:t>
      </w:r>
      <w:r>
        <w:t xml:space="preserve"> </w:t>
      </w:r>
      <w:r>
        <w:t xml:space="preserve">conditional</w:t>
      </w:r>
      <w:r>
        <w:t xml:space="preserve"> </w:t>
      </w:r>
      <w:r>
        <w:rPr>
          <w:i/>
          <w:iCs/>
        </w:rPr>
        <w:t xml:space="preserve">R</w:t>
      </w:r>
      <w:r>
        <w:t xml:space="preserve">² (0.403 and 0.395 respectively, against 0.411 for the simpler structure), and their fixed effects are indistinguishable from those of the main model (effort 1.397 and 1.372; warming 1.348 and 1.366). We therefore freeze the three-level intercept structure as the sole main model: it is the most parsimonious of the three statistically indistinguishable options and it has the highest explanatory power. No variance component collapses in any structure (minimum standard deviation 0.274).</w:t>
      </w:r>
    </w:p>
    <w:bookmarkEnd w:id="25"/>
    <w:bookmarkStart w:id="26" w:name="Xe16357c9ebf971559ca89fe8eb908e744dbb52f"/>
    <w:p>
      <w:pPr>
        <w:pStyle w:val="Heading3"/>
      </w:pPr>
      <w:r>
        <w:t xml:space="preserve">What each level of the model means, and why it is there</w:t>
      </w:r>
    </w:p>
    <w:p>
      <w:pPr>
        <w:pStyle w:val="FirstParagraph"/>
      </w:pPr>
      <w:r>
        <w:t xml:space="preserve">Each random term corresponds to a distinct process, and the fitted magnitudes are themselves results (Figure 4d, Figure 5); the ecological rationale for every component is given in Supplementary Table S2.</w:t>
      </w:r>
    </w:p>
    <w:p>
      <w:pPr>
        <w:pStyle w:val="BodyText"/>
      </w:pPr>
      <w:r>
        <w:rPr>
          <w:i/>
          <w:iCs/>
        </w:rPr>
        <w:t xml:space="preserve">Species (SD 0.405).</w:t>
      </w:r>
      <w:r>
        <w:t xml:space="preserve"> </w:t>
      </w:r>
      <w:r>
        <w:t xml:space="preserve">Species differ in intrinsic detectability for reasons no covariate in the model captures. One standard deviation multiplies the hazard by 1.50, and the fitted species span a 3.7-fold range (Figure 5a).</w:t>
      </w:r>
    </w:p>
    <w:p>
      <w:pPr>
        <w:pStyle w:val="BodyText"/>
      </w:pPr>
      <w:r>
        <w:rPr>
          <w:i/>
          <w:iCs/>
        </w:rPr>
        <w:t xml:space="preserve">Province (SD 0.326).</w:t>
      </w:r>
      <w:r>
        <w:t xml:space="preserve"> </w:t>
      </w:r>
      <w:r>
        <w:t xml:space="preserve">One standard deviation multiplies the hazard by 1.39 (Figure 5b).</w:t>
      </w:r>
    </w:p>
    <w:p>
      <w:pPr>
        <w:pStyle w:val="BodyText"/>
      </w:pPr>
      <w:r>
        <w:rPr>
          <w:i/>
          <w:iCs/>
        </w:rPr>
        <w:t xml:space="preserve">Province by year (SD 0.804).</w:t>
      </w:r>
      <w:r>
        <w:t xml:space="preserve"> </w:t>
      </w:r>
      <w:r>
        <w:t xml:space="preserve">This is the single largest variance component in the model, and it is the reason the level was added. One standard deviation multiplies the hazard by 2.23 — more than either fixed effect — and the fitted levels span a thirteenfold range (Figure 5c). Ecologically it represents the scale at which the observation process actually operates: a regional survey campaign, a provincial birding festival, a newly established protected area, or a new local reporting channel raises the documentation rate for one province in one year. Because such shocks are not shared nationally, a model with only species and province intercepts cannot absorb them, and they leak into whichever fixed effect trends with observational capacity.</w:t>
      </w:r>
    </w:p>
    <w:p>
      <w:pPr>
        <w:pStyle w:val="BodyText"/>
      </w:pPr>
      <w:r>
        <w:rPr>
          <w:i/>
          <w:iCs/>
        </w:rPr>
        <w:t xml:space="preserve">Reporting completeness offset.</w:t>
      </w:r>
      <w:r>
        <w:t xml:space="preserve"> </w:t>
      </w:r>
      <w:r>
        <w:t xml:space="preserve">Not a free parameter but a known correction, so it consumes no degrees of freedom. Omitting it attenuates the effort coefficient from 1.372 to 1.245, because censoring is concentrated in the recent, high-effort years.</w:t>
      </w:r>
    </w:p>
    <w:bookmarkEnd w:id="26"/>
    <w:bookmarkStart w:id="27" w:name="Xf38245127daa17f58c79a23a62853ee4cbb15cc"/>
    <w:p>
      <w:pPr>
        <w:pStyle w:val="Heading3"/>
      </w:pPr>
      <w:r>
        <w:t xml:space="preserve">Migratory strategy shifts the baseline, not the drivers</w:t>
      </w:r>
    </w:p>
    <w:p>
      <w:pPr>
        <w:pStyle w:val="FirstParagraph"/>
      </w:pPr>
      <w:r>
        <w:t xml:space="preserve">New provincial records could arise by different routes in different migratory strategies — residents disperse slowly, whereas long-distance migrants can appear far outside their range as vagrants or storm-displaced individuals and are visible only on passage — so we tested whether strategy moderates either driver (Supplementary Table S3; Supplementary Fig. S3).</w:t>
      </w:r>
    </w:p>
    <w:p>
      <w:pPr>
        <w:pStyle w:val="BodyText"/>
      </w:pPr>
      <w:r>
        <w:t xml:space="preserve">The analysis uses the three groups with a known strategy — 137 resident, 72 partial-migrant and 107 long-distance-migrant species, carrying 218, 156 and 175 events respectively. Species whose strategy is unrecorded are excluded rather than treated as a fourth category: their event rate is 0.791% against 0.29–0.42% in the other groups, and they hold a third as many risk-set rows per species, because a species without trait data entered the candidate pool only by virtue of having a record.</w:t>
      </w:r>
    </w:p>
    <w:p>
      <w:pPr>
        <w:pStyle w:val="BodyText"/>
      </w:pPr>
      <w:r>
        <w:t xml:space="preserve">Migratory strategy shifts the baseline hazard: adding it as a main effect improves fit (ΔAIC 6.2) and is the best model in the ladder. It does not moderate either driver: adding warming × strategy, effort × strategy, both, or the full three-way term each</w:t>
      </w:r>
      <w:r>
        <w:t xml:space="preserve"> </w:t>
      </w:r>
      <w:r>
        <w:rPr>
          <w:i/>
          <w:iCs/>
        </w:rPr>
        <w:t xml:space="preserve">worsens</w:t>
      </w:r>
      <w:r>
        <w:t xml:space="preserve"> </w:t>
      </w:r>
      <w:r>
        <w:t xml:space="preserve">AIC, and none is supported by a likelihood-ratio test (</w:t>
      </w:r>
      <w:r>
        <w:rPr>
          <w:i/>
          <w:iCs/>
        </w:rPr>
        <w:t xml:space="preserve">P</w:t>
      </w:r>
      <w:r>
        <w:t xml:space="preserve"> </w:t>
      </w:r>
      <w:r>
        <w:t xml:space="preserve">= 0.693, 0.854, 0.899 and 0.256 respectively).</w:t>
      </w:r>
    </w:p>
    <w:p>
      <w:pPr>
        <w:pStyle w:val="BodyText"/>
      </w:pPr>
      <w:r>
        <w:t xml:space="preserve">Fitting each group separately agrees. Accumulated warming raises the hazard in every group — 1.363 (95% CI 1.158–1.605) in residents, 1.507 (1.244–1.826) in partial migrants and 1.514 (1.265–1.812) in long-distance migrants — and so does survey effort, at 1.293, 1.270 and 1.344. The confidence intervals overlap almost completely; our prior expectation that warming would matter least for long-distance migrants was not borne out, their point estimate being the highest of the three though indistinguishable from the others. A warming × effort interaction confined to long-distance migrants, and the identifiability constraints of the stratified fits, are reported in Supplementary Note S2; because the test of group differences is not significant, we treat that pattern as an untested hypothesis rather than a result.</w:t>
      </w:r>
    </w:p>
    <w:bookmarkEnd w:id="27"/>
    <w:bookmarkStart w:id="28" w:name="which-species-and-which-provinces"/>
    <w:p>
      <w:pPr>
        <w:pStyle w:val="Heading3"/>
      </w:pPr>
      <w:r>
        <w:t xml:space="preserve">Which species, and which provinces</w:t>
      </w:r>
    </w:p>
    <w:p>
      <w:pPr>
        <w:pStyle w:val="FirstParagraph"/>
      </w:pPr>
      <w:r>
        <w:t xml:space="preserve">Two complementary questions operate at coarser levels than the hazard model: which species are more likely to yield a new provincial record at all, and which provinces accumulate more of them. We address both following the framework of the companion mammal study, adapted to birds (Supplementary Figs S4, S5; Supplementary Tables S4, S5).</w:t>
      </w:r>
    </w:p>
    <w:p>
      <w:pPr>
        <w:pStyle w:val="BodyText"/>
      </w:pPr>
      <w:r>
        <w:rPr>
          <w:i/>
          <w:iCs/>
        </w:rPr>
        <w:t xml:space="preserve">Species level.</w:t>
      </w:r>
      <w:r>
        <w:t xml:space="preserve"> </w:t>
      </w:r>
      <w:r>
        <w:t xml:space="preserve">The pool is the 1,445 Chinese bird species of the national ecological trait database, of which 1,312 match the dated Clements phylogeny and 361 acquired at least one new provincial record; these carry 636 of the 657 events, the remainder belonging to 13 species that are post-2022 taxonomic splits absent from the pool. Trait sources, their order of precedence and the phylogenetic treatments are given in Supplementary Note S3.</w:t>
      </w:r>
    </w:p>
    <w:p>
      <w:pPr>
        <w:pStyle w:val="BodyText"/>
      </w:pPr>
      <w:r>
        <w:t xml:space="preserve">Two effects hold under all three phylogenetic treatments. Partial migrants are about twice as 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 with the hazard model from a different direction: partial migrants also carry the highest raw event rate there (0.417% against 0.29–0.33%). Body mass, clutch size, habitat breadth, diet breadth, number of congeners, hand-wing index, IUCN status, endemism and trophic niche are all null — a contrast with the mammal study, where smaller-bodied, nocturnal and data-deficient species were more likely to be newly recorded. Pooling all species conceals two group-specific patterns that a stratified fit recovers, including a vagrancy signature among full migrants in which the hand-wing index lowers the odds and body mass raises them (Supplementary Table S6, Supplementary Note S3). Trait gaps were filled by random forest, but the out-of-bag error for continuous traits is no better than mean imputation; refitting without the affected species leaves every conclusion intact (Supplementary Note S3).</w:t>
      </w:r>
    </w:p>
    <w:p>
      <w:pPr>
        <w:pStyle w:val="BodyText"/>
      </w:pPr>
      <w:r>
        <w:t xml:space="preserve">Range size must be measured as an</w:t>
      </w:r>
      <w:r>
        <w:t xml:space="preserve"> </w:t>
      </w:r>
      <w:r>
        <w:rPr>
          <w:b/>
          <w:bCs/>
        </w:rPr>
        <w:t xml:space="preserve">area</w:t>
      </w:r>
      <w:r>
        <w:t xml:space="preserve">, not as a count of provinces occupied (Supplementary Table S4). Both area measures are independent of the response and agree: global range area gives an odds ratio of 1.456 (95% CI 1.204–1.762,</w:t>
      </w:r>
      <w:r>
        <w:t xml:space="preserve"> </w:t>
      </w:r>
      <w:r>
        <w:rPr>
          <w:i/>
          <w:iCs/>
        </w:rPr>
        <w:t xml:space="preserve">P</w:t>
      </w:r>
      <w:r>
        <w:t xml:space="preserve"> </w:t>
      </w:r>
      <w:r>
        <w:t xml:space="preserve">= 1.1 × 10⁻⁴, n = 1,298) and Chinese range area, taken from BirdLife polygons clipped to China, gives 1.653 (1.420–1.925,</w:t>
      </w:r>
      <w:r>
        <w:t xml:space="preserve"> </w:t>
      </w:r>
      <w:r>
        <w:rPr>
          <w:i/>
          <w:iCs/>
        </w:rPr>
        <w:t xml:space="preserve">P</w:t>
      </w:r>
      <w:r>
        <w:t xml:space="preserve"> </w:t>
      </w:r>
      <w:r>
        <w:t xml:space="preserve">= 9.0 × 10⁻¹¹, n = 1,003). The count of provinces occupied does not qualify: the trait database was published in 2022 and its provincial counts therefore already contain the 2002–2021 records used as the response. Species with a new record occupy a median of 14 provinces against 4 for those without, that variable returns an odds ratio of 2.09 (</w:t>
      </w:r>
      <w:r>
        <w:rPr>
          <w:i/>
          <w:iCs/>
        </w:rPr>
        <w:t xml:space="preserve">P</w:t>
      </w:r>
      <w:r>
        <w:t xml:space="preserve"> </w:t>
      </w:r>
      <w:r>
        <w:t xml:space="preserve">= 5 × 10⁻¹⁵), and it absorbs the area effect entirely when both are entered (area 0.96,</w:t>
      </w:r>
      <w:r>
        <w:t xml:space="preserve"> </w:t>
      </w:r>
      <w:r>
        <w:rPr>
          <w:i/>
          <w:iCs/>
        </w:rPr>
        <w:t xml:space="preserve">P</w:t>
      </w:r>
      <w:r>
        <w:t xml:space="preserve"> </w:t>
      </w:r>
      <w:r>
        <w:t xml:space="preserve">= 0.70). We report only the area measures.</w:t>
      </w:r>
    </w:p>
    <w:p>
      <w:pPr>
        <w:pStyle w:val="BodyText"/>
      </w:pPr>
      <w:r>
        <w:rPr>
          <w:i/>
          <w:iCs/>
        </w:rPr>
        <w:t xml:space="preserve">Province level.</w:t>
      </w:r>
      <w:r>
        <w:t xml:space="preserve"> </w:t>
      </w:r>
      <w:r>
        <w:t xml:space="preserve">Counts of new records per province are overdispersed relative to Poisson (dispersion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 and passes simulation-based diagnostics. In the count model only regional species richness is significant (incidence rate ratio 1.27,</w:t>
      </w:r>
      <w:r>
        <w:t xml:space="preserve"> </w:t>
      </w:r>
      <w:r>
        <w:rPr>
          <w:i/>
          <w:iCs/>
        </w:rPr>
        <w:t xml:space="preserve">P</w:t>
      </w:r>
      <w:r>
        <w:t xml:space="preserve"> </w:t>
      </w:r>
      <w:r>
        <w:t xml:space="preserve">= 0.036). The informative model is the one that treats recent survey effort as an offset, so that the response becomes the discovery rate per unit of effort: there, provinces already well covered in 2002–2008 yield fewer records 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 Hierarchical partitioning attributes 51.2% of the explained deviance to species richness, 33.3% to area and 9% to the two effort terms combined, with the full model explaining 20.5% of deviance.</w:t>
      </w:r>
    </w:p>
    <w:p>
      <w:pPr>
        <w:pStyle w:val="BodyText"/>
      </w:pPr>
      <w:r>
        <w:t xml:space="preserve">Effort therefore appears at the provincial scale not as a count effect but as diminishing returns — the same signal the hazard model shows as an effort coefficient that falls through time. One adaptation of the mammal framework, the substitution of early and recent coverage for pre-2000 publication counts, is documented in Supplementary Note S3.</w:t>
      </w:r>
    </w:p>
    <w:bookmarkEnd w:id="28"/>
    <w:bookmarkStart w:id="29" w:name="Xc6bca05a8d0c9105c2bfd59170cf82c9f277673"/>
    <w:p>
      <w:pPr>
        <w:pStyle w:val="Heading3"/>
      </w:pPr>
      <w:r>
        <w:t xml:space="preserve">New records are strongly biased toward the east and northeast</w:t>
      </w:r>
    </w:p>
    <w:p>
      <w:pPr>
        <w:pStyle w:val="FirstParagraph"/>
      </w:pPr>
      <w:r>
        <w:t xml:space="preserve">If new records simply filled in survey gaps at random, they would fall on all sides of a species’ known range with equal frequency. They do not. Taking the bearing from the centroid of each species’ BirdLife range to the record itself and binning into eight sectors, direction is far from uniform (χ² = 580.1, df = 7,</w:t>
      </w:r>
      <w:r>
        <w:t xml:space="preserve"> </w:t>
      </w:r>
      <w:r>
        <w:rPr>
          <w:i/>
          <w:iCs/>
        </w:rPr>
        <w:t xml:space="preserve">P</w:t>
      </w:r>
      <w:r>
        <w:t xml:space="preserve"> </w:t>
      </w:r>
      <w:r>
        <w:t xml:space="preserve">= 4.6 × 10⁻¹²¹; Figure 6). Two sectors are over-represented after Holm correction: east holds 237 of 642 records (36.9%, against 80.2 expected) and northeast 179 (27.9%). South and west are nearly empty, with 20 and 19.</w:t>
      </w:r>
    </w:p>
    <w:p>
      <w:pPr>
        <w:pStyle w:val="BodyText"/>
      </w:pPr>
      <w:r>
        <w:t xml:space="preserve">The pattern is not carried by one taxon. Five of the well-sampled orders reject uniformity on their own — Passeriformes (χ² = 376.6,</w:t>
      </w:r>
      <w:r>
        <w:t xml:space="preserve"> </w:t>
      </w:r>
      <w:r>
        <w:rPr>
          <w:i/>
          <w:iCs/>
        </w:rPr>
        <w:t xml:space="preserve">P</w:t>
      </w:r>
      <w:r>
        <w:t xml:space="preserve"> </w:t>
      </w:r>
      <w:r>
        <w:t xml:space="preserve">= 2.5 × 10⁻⁷⁷), Anseriformes (64.0), Accipitriformes (52.5), Charadriiformes (45.5) and Columbiformes (29.1) — and in every case the significant sectors are east, northeast or both (per-order panels in Supplementary Fig. S15).</w:t>
      </w:r>
    </w:p>
    <w:p>
      <w:pPr>
        <w:pStyle w:val="BodyText"/>
      </w:pPr>
      <w:r>
        <w:t xml:space="preserve">Two mechanisms are consistent with this and cannot be separated by these data. The eastern half of China holds the great majority of the observer population, so a species’ range edge is far more likely to be watched on its eastern than on its western side; that is the observational reading, and it is the same asymmetry the province-by-year variance component captures. The ecological reading is that eastern and north-eastern range margins are where suitable climate is expanding fastest for a warming-tracking assemblage. That birds show an eastward rather than the northward and eastward bias reported for mammals is itself informative: China’s observer gradient runs west-to-east, not south-to-north, which tilts the balance toward the observational explanation for this taxon.</w:t>
      </w:r>
    </w:p>
    <w:bookmarkEnd w:id="29"/>
    <w:bookmarkStart w:id="30" w:name="the-return-on-survey-effort-is-declining"/>
    <w:p>
      <w:pPr>
        <w:pStyle w:val="Heading3"/>
      </w:pPr>
      <w:r>
        <w:t xml:space="preserve">The return on survey effort is declining</w:t>
      </w:r>
    </w:p>
    <w:p>
      <w:pPr>
        <w:pStyle w:val="FirstParagraph"/>
      </w:pPr>
      <w:r>
        <w:t xml:space="preserve">The proportional-hazards assumption holds for accumulated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This is a substantive result rather than a diagnostic failure. Allowing the effort coefficient to vary through time, its hazard ratio falls from 2.18 (95% CI 1.63–2.90) in 2002 to 1.07 (0.88–1.30) in 2024, crossing into non-significance in the early 2020s (Figure 5d). Two decades of intensifying observation have used up the readily detectable gaps, so an additional standard deviation of effort now yields far fewer first records than it did at the start of the period. That the climate term shows no such decline is the sharpest available evidence that the two coefficients are capturing different processes: a saturating observational process and a non-saturating climatic one.</w:t>
      </w:r>
    </w:p>
    <w:bookmarkEnd w:id="30"/>
    <w:bookmarkStart w:id="31" w:name="robustness"/>
    <w:p>
      <w:pPr>
        <w:pStyle w:val="Heading3"/>
      </w:pPr>
      <w:r>
        <w:t xml:space="preserve">Robustness</w:t>
      </w:r>
    </w:p>
    <w:p>
      <w:pPr>
        <w:pStyle w:val="FirstParagraph"/>
      </w:pPr>
      <w:r>
        <w:t xml:space="preserve">The conclusions do not depend on any freely chosen analytical decision (Figure 3).</w:t>
      </w:r>
    </w:p>
    <w:p>
      <w:pPr>
        <w:pStyle w:val="BodyText"/>
      </w:pPr>
      <w:r>
        <w:rPr>
          <w:i/>
          <w:iCs/>
        </w:rPr>
        <w:t xml:space="preserve">Species-distribution-model threshold.</w:t>
      </w:r>
      <w:r>
        <w:t xml:space="preserve"> </w:t>
      </w:r>
      <w:r>
        <w:t xml:space="preserve">Cells of the 2.5-arc-minute climate surface have a median area of 18.3 km², so candidate-pool thresholds of 50, 100 and 200 cells correspond to roughly 0.9, 1.8 and 3.7 thousand km² of suitable habitat. Raising the requirement from 50 to 200 cells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w:t>
      </w:r>
    </w:p>
    <w:p>
      <w:pPr>
        <w:pStyle w:val="BodyText"/>
      </w:pPr>
      <w:r>
        <w:rPr>
          <w:i/>
          <w:iCs/>
        </w:rPr>
        <w:t xml:space="preserve">Accumulation window and climate baseline.</w:t>
      </w:r>
      <w:r>
        <w:t xml:space="preserve"> </w:t>
      </w:r>
      <w:r>
        <w:t xml:space="preserve">Both are analyst choices, so we tested them jointly at windows of 5, 10, 15 and 20 years against the two baselines in common use, 1980–2000 and 1970–2000, rebuilding the entire climate chain from CRU TS 4.09 to reach back beyond the 1980 start of the WorldClim 2.1 downscaling (Supplementary Note S5; Supplementary Fig. S2). Three results follow. First, the warming coefficient rises with window length in every series, from about 1.16–1.21 at five years to 1.36–1.40 at twenty years, the signature expected of a process that integrates climate over years to decades rather than one that responds to weather. A finer grid from 3 to 23 years (Supplementary Table S8) places the optimum at 18–20 years, so it is interior rather than an artefact of the tested range; we retain 15 years as pre-specified, within 2.2–5.6 AIC units of the optimum in every series. Second, the effort coefficient is flat at 1.34–1.41 across all twelve combinations and the interaction is negative throughout (0.82–1.00), which is direct evidence that the climate and effort terms are separately identified rather than competing for the same variance. Third, the choice between baselines is immaterial: at</w:t>
      </w:r>
      <w:r>
        <w:t xml:space="preserve"> </w:t>
      </w:r>
      <w:r>
        <w:rPr>
          <w:i/>
          <w:iCs/>
        </w:rPr>
        <w:t xml:space="preserve">W</w:t>
      </w:r>
      <w:r>
        <w:t xml:space="preserve"> </w:t>
      </w:r>
      <w:r>
        <w:t xml:space="preserve">= 15 the hazard ratio is 1.361 under CRU 1970–2000 against 1.307 under CRU 1980–2000, with the main WorldClim 1980–2000 estimate of 1.362 between the two. One caveat follows from resolution: because the 0.5° CRU grid smooths sub-grid topographic variation, one standard deviation of accumulated warming is 0.058 °C in the CRU series against 0.179 °C in the main one; natural-unit statements here refer to the main, higher-resolution series.</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because the rules yield different sample sizes, we compare coefficients rather than AIC. The coverage-gap interpretation is strongly supported by the data: in 22 of the 24 cells flagged as structural zeros, the immediately adjacent years within the same province record between one and 27 visits, so these are gaps in database coverage rather than years in which birdwatching ceased.</w:t>
      </w:r>
    </w:p>
    <w:bookmarkEnd w:id="31"/>
    <w:bookmarkStart w:id="32" w:name="model-adequacy"/>
    <w:p>
      <w:pPr>
        <w:pStyle w:val="Heading3"/>
      </w:pPr>
      <w:r>
        <w:t xml:space="preserve">Model adequacy</w:t>
      </w:r>
    </w:p>
    <w:p>
      <w:pPr>
        <w:pStyle w:val="FirstParagraph"/>
      </w:pPr>
      <w:r>
        <w:t xml:space="preserve">Simulation-based residual diagnostics indicate a well-calibrated model (Supplementary Table S1; Supplementary Fig. S9).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is expected of a binary outcome with an event rate of 0.37%; we report it for completeness rather than as evidence of misspecification.</w:t>
      </w:r>
    </w:p>
    <w:p>
      <w:pPr>
        <w:pStyle w:val="BodyText"/>
      </w:pPr>
      <w:r>
        <w:t xml:space="preserve">Three resampling analyses complete the assessment (Supplementary Fig. S11). The three design-preserving permutation nulls place every reported coefficient outside its null distribution except annual climate variability, which is null under the design as in the fitted model. A cluster bootstrap of 300 resamples shows that provincial clustering inflates the standard errors by a factor of 1.26–1.59 relative to the model-based values, whereas species clustering does not (0.86–1.17); Table 2 therefore reports both intervals. A parametric bootstrap of 150 simulations recovers the coefficients with absolute bias below 0.01 on the log-hazard scale and gives actual coverage of 91.3–95.3% for the nominal 95% interval. Leaving out each province in turn, and each of ten species deciles, moves the coefficients by at most 4.2%, with 9 of 164 combinations exceeding 3%: no single province or species group carries the result. A refit allowing both focal effects to vary through time is reported in Supplementary Note S4.</w:t>
      </w:r>
    </w:p>
    <w:bookmarkEnd w:id="32"/>
    <w:bookmarkStart w:id="33" w:name="X30c910c5c654a1a1551de8e16c7c8a457dac784"/>
    <w:p>
      <w:pPr>
        <w:pStyle w:val="Heading3"/>
      </w:pPr>
      <w:r>
        <w:t xml:space="preserve">How far can these relationships be projected?</w:t>
      </w:r>
    </w:p>
    <w:p>
      <w:pPr>
        <w:pStyle w:val="FirstParagraph"/>
      </w:pPr>
      <w:r>
        <w:t xml:space="preserve">We projected the fitted hazard under CMIP6 SSP2-4.5 and SSP5-8.5 for 2030, 2050 and 2080, applying the four-model ensemble delta to both ends of the climate gradient and growing effort at scenario-differentiated rates, then asked how much of each scenario lies inside the range over which the model was fitted (Figure 7b).</w:t>
      </w:r>
    </w:p>
    <w:p>
      <w:pPr>
        <w:pStyle w:val="BodyText"/>
      </w:pPr>
      <w:r>
        <w:t xml:space="preserve">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w:t>
      </w:r>
    </w:p>
    <w:p>
      <w:pPr>
        <w:pStyle w:val="BodyText"/>
      </w:pPr>
      <w:r>
        <w:t xml:space="preserve">A gradient-boosted comparison model trained on the same three predictors reinforces the point. Within the observed range the two model families track each other across province-years (Spearman ρ = 0.54). Outside it they diverge completely: rank correlations across province-scenario cells range from −0.04 to 0.18, and the two agree on the direction of change in only 23.7% of cells, falling to 6.5% under SSP5-8.5 in 2080 (Figure 7c). The mechanistic model projects increases in 176 of 186 cells; the machine-learning model in 42. The cause is structural: tree ensembles saturate once covariates leave the training support, whereas the complementary log-log model extrapolates linearly on the log-hazard scale. TreeSHAP attributions within the training range are monotone increasing for both drivers (Supplementary Fig. S8).</w:t>
      </w:r>
    </w:p>
    <w:bookmarkEnd w:id="33"/>
    <w:bookmarkStart w:id="34" w:name="X8e399277562751b0978c96f332af6194ca3906c"/>
    <w:p>
      <w:pPr>
        <w:pStyle w:val="Heading3"/>
      </w:pPr>
      <w:r>
        <w:t xml:space="preserve">Records inside nature reserves measure the observation process, not reserve performance</w:t>
      </w:r>
    </w:p>
    <w:p>
      <w:pPr>
        <w:pStyle w:val="FirstParagraph"/>
      </w:pPr>
      <w:r>
        <w:t xml:space="preserve">Twenty-six per cent of new records fall inside one of the 1,028 mapped Chinese nature reserves, against a land-area share of 10.4% — an apparent 2.5-fold enrichment ordinarily read as evidence that the reserve network is receiving redistributing species. We tested it against the observation process, defining availability as</w:t>
      </w:r>
      <w:r>
        <w:t xml:space="preserve"> </w:t>
      </w:r>
      <w:r>
        <w:rPr>
          <w:i/>
          <w:iCs/>
        </w:rPr>
        <w:t xml:space="preserve">where birdwatchers actually went</w:t>
      </w:r>
      <w:r>
        <w:t xml:space="preserve"> </w:t>
      </w:r>
      <w:r>
        <w:t xml:space="preserve">from 2.86 million GBIF/eBird checklists (172,079 checklists at 43,571 distinct locations, 2002–2023): each event was matched to 200 control locations from the same province and year, weighted by the checklists recorded there, and analysed by conditional logistic regression (Supplementary Fig. S12).</w:t>
      </w:r>
    </w:p>
    <w:p>
      <w:pPr>
        <w:pStyle w:val="BodyText"/>
      </w:pPr>
      <w:r>
        <w:t xml:space="preserve">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 the distance analogue is consistent (0.82 per standard deviation of log distance to the nearest reserve, 0.75–0.90).</w:t>
      </w:r>
    </w:p>
    <w:p>
      <w:pPr>
        <w:pStyle w:val="BodyText"/>
      </w:pPr>
      <w:r>
        <w:t xml:space="preserve">Three features argue that the residual association is itself largely observational. It is carried by very few sites: the 172 inside-reserve events fall in only 68 reserves (6.6% of the 1,028), the top two account for 27.3%, a block bootstrap over host reserves widens the interval to 0.89–3.19, and dropping the two largest hosts leaves 1.16 (0.92–1.47). It is confined to the period of rapid growth in birdwatching, at 2.05 (1.61–2.59) for 2013–2023 against 0.97 (0.62–1.50) for 2002–2012, although the mapped network gained no area after 2012. And checklists made inside reserves record 18.9 species on average against 15.3 outside, a 24% difference in per-visit yield that stratification cannot remove. Two alternatives were rejected: the enrichment is not driven by professional survey work (28.5% for birdwatching-type discoveries against 26.3% for specimen, camera-trap and ringing discoveries), and it is not an artefact of coordinate precision (the share rises smoothly from 26.2% to 37.6% across 0–5 km buffers, with no threshold jump). Because within-site observation bias cannot be conditioned out, we stated the rule in advance: a null result would be strong evidence, a positive one weak. The 1.57 odds ratio is therefore an upper bound on any ecological contribution, and counts of new records inside reserves should not be used as an indicator of reserve performance.</w:t>
      </w:r>
    </w:p>
    <w:p>
      <w:pPr>
        <w:pStyle w:val="BodyText"/>
      </w:pPr>
      <w:r>
        <w:t xml:space="preserve">Whether a first record becomes a persistent presence is unrelated to reserve status: 41.1% of first records were re-detected at least once and 22.5% in three or more later years, and controlling for subsequent survey effort — which grew from 148 checklists province-wide in 2002 to 14,974 in 2023 — the inside-versus-outside odds ratios are 1.01 (0.62–1.64) and 1.10 (0.61–1.99) (Supplementary Fig. S13). The intervals are slightly wider than our pre-declared equivalence bounds of 0.67–1.5, so we report no detectable difference rather than equivalence. Provincial first records are therefore not predominantly vagrants, but neither are they predominantly colonisations.</w:t>
      </w:r>
    </w:p>
    <w:p>
      <w:pPr>
        <w:pStyle w:val="BodyText"/>
      </w:pPr>
      <w:r>
        <w:t xml:space="preserve">The reserve network shows no measurable mismatch with observed warming. Recomputing warming at the cell level from CRU TS 4.09, area-weighted reserve coverage across warming quintiles ranges only from 8.5% to 11.8%, a 1.2-fold spread against the 8.5-fold spread implied by the provincial field broadcast to cells (Supplementary Fig. S14); an area-weighted fractional logit gives β = −0.022 (−0.107 to 0.063,</w:t>
      </w:r>
      <w:r>
        <w:t xml:space="preserve"> </w:t>
      </w:r>
      <w:r>
        <w:rPr>
          <w:i/>
          <w:iCs/>
        </w:rPr>
        <w:t xml:space="preserve">P</w:t>
      </w:r>
      <w:r>
        <w:t xml:space="preserve"> </w:t>
      </w:r>
      <w:r>
        <w:t xml:space="preserve">= 0.61), and permuting coverage 999 times within province × 500 m elevation strata places the observed within-stratum correlation (ρ = −0.013) inside the null envelope (</w:t>
      </w:r>
      <w:r>
        <w:rPr>
          <w:i/>
          <w:iCs/>
        </w:rPr>
        <w:t xml:space="preserve">P</w:t>
      </w:r>
      <w:r>
        <w:t xml:space="preserve"> </w:t>
      </w:r>
      <w:r>
        <w:t xml:space="preserve">= 0.48). What the network lacks is monitoring: crossing the upper tercile of warming with the lower tercile of recent birding effort identifies 39.3 × 10⁴ km² inside existing reserves, where monitoring could be grafted onto existing management, and 160.3 × 10⁴ km² outside any mapped reserve, where new capacity would be needed.</w:t>
      </w:r>
    </w:p>
    <w:p>
      <w:pPr>
        <w:pStyle w:val="BodyText"/>
      </w:pPr>
      <w:r>
        <w:t xml:space="preserve">All statements here apply only to the 1,028 mapped reserves established before 2012; because reserve status has almost no temporal variation within the window, we make no causal claim.</w:t>
      </w:r>
    </w:p>
    <w:bookmarkEnd w:id="34"/>
    <w:bookmarkEnd w:id="35"/>
    <w:bookmarkStart w:id="36" w:name="discussion"/>
    <w:p>
      <w:pPr>
        <w:pStyle w:val="Heading2"/>
      </w:pPr>
      <w:r>
        <w:t xml:space="preserve">Discussion</w:t>
      </w:r>
    </w:p>
    <w:p>
      <w:pPr>
        <w:pStyle w:val="FirstParagraph"/>
      </w:pPr>
      <w:r>
        <w:t xml:space="preserve">Three results have implications beyond this dataset.</w:t>
      </w:r>
    </w:p>
    <w:p>
      <w:pPr>
        <w:pStyle w:val="BodyText"/>
      </w:pPr>
      <w:r>
        <w:rPr>
          <w:b/>
          <w:bCs/>
        </w:rPr>
        <w:t xml:space="preserve">The date attached to a record is a modelling decision, not a bookkeeping detail.</w:t>
      </w:r>
      <w:r>
        <w:t xml:space="preserve"> </w:t>
      </w:r>
      <w:r>
        <w:t xml:space="preserve">Compilations of new distribution records — provincial, national, or regional — are assembled from the published literature, and publication year is the field that primary sources report consistently. Our decomposition shows that using it inflates the apparent contribution of survey effort by 37% and manufactures an effect of annual climate variability that does not exist. The bias is directional and predictable: because publication year and observational capacity both trend upward, the misalignment always favours the covariate that trends with observer numbers. Any compilation-based analysis that reports an effort or sampling-intensity effect without discovery dates should be read with this in mind. Where discovery dates are unavailable, our completeness framework provides a partial remedy, but the first-order fix is to record and report the observation date.</w:t>
      </w:r>
    </w:p>
    <w:p>
      <w:pPr>
        <w:pStyle w:val="BodyText"/>
      </w:pPr>
      <w:r>
        <w:rPr>
          <w:b/>
          <w:bCs/>
        </w:rPr>
        <w:t xml:space="preserve">Accumulated warming is not a minor addition to a sampling story.</w:t>
      </w:r>
      <w:r>
        <w:t xml:space="preserve"> </w:t>
      </w:r>
      <w:r>
        <w:t xml:space="preserve">After correction, warming relative to a species’ historical range and survey effort contribute comparably to the hazard of a new provincial record, and warming discriminates slightly better between event and non-event cells. This is not a claim that new records are unbiased evidence of range expansion; the effort effect remains large, and the province-by-year variance component (standard deviation 0.804 on the latent scale) is the single largest source of heterogeneity in the model, reflecting how strongly the observation process varies in space and time. It is a claim that the climate signal is not an artefact of where people look, because it survives the inclusion of effort at four proxies, three missing-data rules, three candidate-pool definitions and a random structure that absorbs province-year observational shocks.</w:t>
      </w:r>
    </w:p>
    <w:p>
      <w:pPr>
        <w:pStyle w:val="BodyText"/>
      </w:pPr>
      <w:r>
        <w:t xml:space="preserve">The negative interaction refines this. Warming raises the hazard most where survey effort is low. Two readings are consistent with the data and are not mutually exclusive. Ecologically, sparsely surveyed provinces in China are disproportionately western and montane, where climatic gradients are steep and small temperature changes translate into large habitat displacements. Observationally, densely surveyed provinces have already absorbed much of their Wallacean shortfall, so the pool of species available to be newly recorded is depleted regardless of climate. The declining marginal return of effort through time, which we detect as a violation of proportional hazards for that term alone, supports the second reading. Distinguishing them will require data on detection probability conditional on presence, which provincial compilations do not provide.</w:t>
      </w:r>
    </w:p>
    <w:p>
      <w:pPr>
        <w:pStyle w:val="BodyText"/>
      </w:pPr>
      <w:r>
        <w:rPr>
          <w:b/>
          <w:bCs/>
        </w:rPr>
        <w:t xml:space="preserve">Projection is limited by covariate support, not by scenario availability.</w:t>
      </w:r>
      <w:r>
        <w:t xml:space="preserve"> </w:t>
      </w:r>
      <w:r>
        <w:t xml:space="preserve">It is straightforward to push a fitted hazard model through CMIP6 surfaces to 2080 and produce a map. Our support diagnostic shows that fewer than one in fifty species-province cells then resembles anything in the fitted data, because the species-specific climate gradient — a difference between two covarying anomalies — has a historical standard deviation an order of magnitude smaller than the future warming differentials imposed on it. The consequence is not merely wide uncertainty; it is that mechanistic and machine-learning models trained on identical data disagree on the direction of change in three quarters of cells. We recommend that projections of record generation, and of range-shift indicators built on species-specific climate differentials more generally, report the fraction of projected cells inside the fitted support as a matter of routine (Elith et al., 2010; Mesgaran et al., 2014; Yates et al., 2018). Where that fraction is small, the honest product is a near-term surface with an explicit support mask, not a century-scale map.</w:t>
      </w:r>
    </w:p>
    <w:p>
      <w:pPr>
        <w:pStyle w:val="BodyText"/>
      </w:pPr>
      <w:r>
        <w:rPr>
          <w:b/>
          <w:bCs/>
        </w:rPr>
        <w:t xml:space="preserve">Implications for monitoring and conservation planning.</w:t>
      </w:r>
      <w:r>
        <w:t xml:space="preserve"> </w:t>
      </w:r>
      <w:r>
        <w:t xml:space="preserve">Three practical points follow. First, the province-by-year variance component identifies where monitoring investment changes what is documented: a single province-year shock of one standard deviation multiplies the hazard by 2.2, more than either driver at one standard deviation. Targeted survey campaigns therefore have large and immediate effects on the biodiversity record, which is a reason to allocate them deliberately rather than opportunistically. Second, the negative interaction implies that survey effort added to under-covered, climatically dynamic provinces yields more new documentation per unit effort than the same investment in well-covered provinces — a straightforward prioritisation rule. Third, because the marginal return of effort has declined measurably within two decades, monitoring programmes should expect diminishing returns in new-record generation and should not read a plateau in new records as evidence that redistribution has slowed.</w:t>
      </w:r>
    </w:p>
    <w:p>
      <w:pPr>
        <w:pStyle w:val="BodyText"/>
      </w:pPr>
      <w:r>
        <w:rPr>
          <w:b/>
          <w:bCs/>
        </w:rPr>
        <w:t xml:space="preserve">Limitations.</w:t>
      </w:r>
      <w:r>
        <w:t xml:space="preserve"> </w:t>
      </w:r>
      <w:r>
        <w:t xml:space="preserve">Our events are formal published records, not detections; a species present but undocumented contributes to the non-event cells, so all coefficients describe the generation of</w:t>
      </w:r>
      <w:r>
        <w:t xml:space="preserve"> </w:t>
      </w:r>
      <w:r>
        <w:rPr>
          <w:i/>
          <w:iCs/>
        </w:rPr>
        <w:t xml:space="preserve">documented</w:t>
      </w:r>
      <w:r>
        <w:t xml:space="preserve"> </w:t>
      </w:r>
      <w:r>
        <w:t xml:space="preserve">records rather than of range expansions per se. This is the sense in which our framing is deliberately narrower than an attribution claim. The effort panel is provincial and annual, which is coarse relative to the scale at which observers actually operate. The candidate pool is defined by species-distribution models, whose thresholds we varied but whose structural assumptions we did not. Vagrant taxa without established Chinese ranges were excluded, so our results describe range-margin dynamics rather than long-distance displacement. Finally, the discovery-year series is right-censored at its most recent end; the completeness offset corrects the expected hazard but cannot recover the individual records that have not yet been published.</w:t>
      </w:r>
    </w:p>
    <w:bookmarkEnd w:id="36"/>
    <w:bookmarkStart w:id="37" w:name="references"/>
    <w:p>
      <w:pPr>
        <w:pStyle w:val="Heading2"/>
      </w:pPr>
      <w:r>
        <w:t xml:space="preserve">References</w:t>
      </w:r>
    </w:p>
    <w:p>
      <w:pPr>
        <w:pStyle w:val="FirstParagraph"/>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pStyle w:val="BodyText"/>
      </w:pPr>
      <w:r>
        <w:t xml:space="preserve">Amano, T., Lamming, J. D. L. &amp; Sutherland, W. J. Spatial gaps in global biodiversity information and the role of citizen science.</w:t>
      </w:r>
      <w:r>
        <w:t xml:space="preserve"> </w:t>
      </w:r>
      <w:r>
        <w:rPr>
          <w:i/>
          <w:iCs/>
        </w:rPr>
        <w:t xml:space="preserve">BioScience</w:t>
      </w:r>
      <w:r>
        <w:t xml:space="preserve"> </w:t>
      </w:r>
      <w:r>
        <w:rPr>
          <w:b/>
          <w:bCs/>
        </w:rPr>
        <w:t xml:space="preserve">66</w:t>
      </w:r>
      <w:r>
        <w:t xml:space="preserve">, 393–400 (2016). https://doi.org/10.1093/biosci/biw022</w:t>
      </w:r>
    </w:p>
    <w:p>
      <w:pPr>
        <w:pStyle w:val="BodyText"/>
      </w:pPr>
      <w:r>
        <w:t xml:space="preserve">Barr, D. J., Levy, R., Scheepers, C. &amp; Tily, H. J. Random effects structure for confirmatory hypothesis testing: keep it maximal.</w:t>
      </w:r>
      <w:r>
        <w:t xml:space="preserve"> </w:t>
      </w:r>
      <w:r>
        <w:rPr>
          <w:i/>
          <w:iCs/>
        </w:rPr>
        <w:t xml:space="preserve">J. Mem. Lang.</w:t>
      </w:r>
      <w:r>
        <w:t xml:space="preserve"> </w:t>
      </w:r>
      <w:r>
        <w:rPr>
          <w:b/>
          <w:bCs/>
        </w:rPr>
        <w:t xml:space="preserve">68</w:t>
      </w:r>
      <w:r>
        <w:t xml:space="preserve">, 255–278 (2013). https://doi.org/10.1016/j.jml.2012.11.001</w:t>
      </w:r>
    </w:p>
    <w:p>
      <w:pPr>
        <w:pStyle w:val="BodyText"/>
      </w:pPr>
      <w:r>
        <w:t xml:space="preserve">Beck, J., Böller, M., Erhardt, A. &amp; Schwanghart, W. Spatial bias in the GBIF database and its effect on modeling species’ geographic distributions.</w:t>
      </w:r>
      <w:r>
        <w:t xml:space="preserve"> </w:t>
      </w:r>
      <w:r>
        <w:rPr>
          <w:i/>
          <w:iCs/>
        </w:rPr>
        <w:t xml:space="preserve">Ecol. Inform.</w:t>
      </w:r>
      <w:r>
        <w:t xml:space="preserve"> </w:t>
      </w:r>
      <w:r>
        <w:rPr>
          <w:b/>
          <w:bCs/>
        </w:rPr>
        <w:t xml:space="preserve">19</w:t>
      </w:r>
      <w:r>
        <w:t xml:space="preserve">, 10–15 (2014). https://doi.org/10.1016/j.ecoinf.2013.11.002</w:t>
      </w:r>
    </w:p>
    <w:p>
      <w:pPr>
        <w:pStyle w:val="BodyText"/>
      </w:pPr>
      <w:r>
        <w:t xml:space="preserve">Bird, T. J. et al. Statistical solutions for error and bias in global citizen science datasets.</w:t>
      </w:r>
      <w:r>
        <w:t xml:space="preserve"> </w:t>
      </w:r>
      <w:r>
        <w:rPr>
          <w:i/>
          <w:iCs/>
        </w:rPr>
        <w:t xml:space="preserve">Biol. Conserv.</w:t>
      </w:r>
      <w:r>
        <w:t xml:space="preserve"> </w:t>
      </w:r>
      <w:r>
        <w:rPr>
          <w:b/>
          <w:bCs/>
        </w:rPr>
        <w:t xml:space="preserve">173</w:t>
      </w:r>
      <w:r>
        <w:t xml:space="preserve">, 144–154 (2014). https://doi.org/10.1016/j.biocon.2013.07.037</w:t>
      </w:r>
    </w:p>
    <w:p>
      <w:pPr>
        <w:pStyle w:val="BodyText"/>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pStyle w:val="BodyText"/>
      </w:pPr>
      <w:r>
        <w:t xml:space="preserve">Bowler, D. E. et al. Mapping human pressures on biodiversity across the planet uncovers anthropogenic threat complexes.</w:t>
      </w:r>
      <w:r>
        <w:t xml:space="preserve"> </w:t>
      </w:r>
      <w:r>
        <w:rPr>
          <w:i/>
          <w:iCs/>
        </w:rPr>
        <w:t xml:space="preserve">People Nat.</w:t>
      </w:r>
      <w:r>
        <w:t xml:space="preserve"> </w:t>
      </w:r>
      <w:r>
        <w:rPr>
          <w:b/>
          <w:bCs/>
        </w:rPr>
        <w:t xml:space="preserve">2</w:t>
      </w:r>
      <w:r>
        <w:t xml:space="preserve">, 380–394 (2020). https://doi.org/10.1002/pan3.10071</w:t>
      </w:r>
    </w:p>
    <w:p>
      <w:pPr>
        <w:pStyle w:val="BodyText"/>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pStyle w:val="BodyText"/>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pStyle w:val="BodyText"/>
      </w:pPr>
      <w:r>
        <w:t xml:space="preserve">Burrows, M. T. et al. The pace of shifting climate in marine and terrestrial ecosystems.</w:t>
      </w:r>
      <w:r>
        <w:t xml:space="preserve"> </w:t>
      </w:r>
      <w:r>
        <w:rPr>
          <w:i/>
          <w:iCs/>
        </w:rPr>
        <w:t xml:space="preserve">Science</w:t>
      </w:r>
      <w:r>
        <w:t xml:space="preserve"> </w:t>
      </w:r>
      <w:r>
        <w:rPr>
          <w:b/>
          <w:bCs/>
        </w:rPr>
        <w:t xml:space="preserve">334</w:t>
      </w:r>
      <w:r>
        <w:t xml:space="preserve">, 652–655 (2011). https://doi.org/10.1126/science.1210288</w:t>
      </w:r>
    </w:p>
    <w:p>
      <w:pPr>
        <w:pStyle w:val="BodyText"/>
      </w:pPr>
      <w:r>
        <w:t xml:space="preserve">Burton, A. C. et al. Wildlife camera trapping: a review and recommendations for linking surveys to ecological processes.</w:t>
      </w:r>
      <w:r>
        <w:t xml:space="preserve"> </w:t>
      </w:r>
      <w:r>
        <w:rPr>
          <w:i/>
          <w:iCs/>
        </w:rPr>
        <w:t xml:space="preserve">J. Appl. Ecol.</w:t>
      </w:r>
      <w:r>
        <w:t xml:space="preserve"> </w:t>
      </w:r>
      <w:r>
        <w:rPr>
          <w:b/>
          <w:bCs/>
        </w:rPr>
        <w:t xml:space="preserve">52</w:t>
      </w:r>
      <w:r>
        <w:t xml:space="preserve">, 675–685 (2015). https://doi.org/10.1111/1365-2664.12432</w:t>
      </w:r>
    </w:p>
    <w:p>
      <w:pPr>
        <w:pStyle w:val="BodyText"/>
      </w:pPr>
      <w:r>
        <w:t xml:space="preserve">Callaghan, C. T., Poore, A. G. B., Major, R. E., Rowley, J. J. L. &amp; Cornwell, W. K. Optimizing future biodiversity sampling by citizen scientists.</w:t>
      </w:r>
      <w:r>
        <w:t xml:space="preserve"> </w:t>
      </w:r>
      <w:r>
        <w:rPr>
          <w:i/>
          <w:iCs/>
        </w:rPr>
        <w:t xml:space="preserve">Proc. R. Soc. B</w:t>
      </w:r>
      <w:r>
        <w:t xml:space="preserve"> </w:t>
      </w:r>
      <w:r>
        <w:rPr>
          <w:b/>
          <w:bCs/>
        </w:rPr>
        <w:t xml:space="preserve">286</w:t>
      </w:r>
      <w:r>
        <w:t xml:space="preserve">, 20191487 (2019). https://doi.org/10.1098/rspb.2019.1487</w:t>
      </w:r>
    </w:p>
    <w:p>
      <w:pPr>
        <w:pStyle w:val="BodyText"/>
      </w:pPr>
      <w:r>
        <w:t xml:space="preserve">Chandler, M. et al. Contribution of citizen science towards international biodiversity monitoring.</w:t>
      </w:r>
      <w:r>
        <w:t xml:space="preserve"> </w:t>
      </w:r>
      <w:r>
        <w:rPr>
          <w:i/>
          <w:iCs/>
        </w:rPr>
        <w:t xml:space="preserve">Biol. Conserv.</w:t>
      </w:r>
      <w:r>
        <w:t xml:space="preserve"> </w:t>
      </w:r>
      <w:r>
        <w:rPr>
          <w:b/>
          <w:bCs/>
        </w:rPr>
        <w:t xml:space="preserve">213</w:t>
      </w:r>
      <w:r>
        <w:t xml:space="preserve">, 280–294 (2017). https://doi.org/10.1016/j.biocon.2016.09.004</w:t>
      </w:r>
    </w:p>
    <w:p>
      <w:pPr>
        <w:pStyle w:val="BodyText"/>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pStyle w:val="BodyText"/>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pStyle w:val="BodyText"/>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pStyle w:val="BodyText"/>
      </w:pPr>
      <w:r>
        <w:t xml:space="preserve">Devictor, V., Julliard, R., Couvet, D. &amp; Jiguet, F. Birds are tracking climate warming, but not fast enough.</w:t>
      </w:r>
      <w:r>
        <w:t xml:space="preserve"> </w:t>
      </w:r>
      <w:r>
        <w:rPr>
          <w:i/>
          <w:iCs/>
        </w:rPr>
        <w:t xml:space="preserve">Proc. R. Soc. B</w:t>
      </w:r>
      <w:r>
        <w:t xml:space="preserve"> </w:t>
      </w:r>
      <w:r>
        <w:rPr>
          <w:b/>
          <w:bCs/>
        </w:rPr>
        <w:t xml:space="preserve">275</w:t>
      </w:r>
      <w:r>
        <w:t xml:space="preserve">, 2743–2748 (2008). https://doi.org/10.1098/rspb.2008.0878</w:t>
      </w:r>
    </w:p>
    <w:p>
      <w:pPr>
        <w:pStyle w:val="BodyText"/>
      </w:pPr>
      <w:r>
        <w:t xml:space="preserve">Devictor, V. et al. Differences in the climatic debts of birds and butterflies at a continental scale.</w:t>
      </w:r>
      <w:r>
        <w:t xml:space="preserve"> </w:t>
      </w:r>
      <w:r>
        <w:rPr>
          <w:i/>
          <w:iCs/>
        </w:rPr>
        <w:t xml:space="preserve">Nat. Clim. Change</w:t>
      </w:r>
      <w:r>
        <w:t xml:space="preserve"> </w:t>
      </w:r>
      <w:r>
        <w:rPr>
          <w:b/>
          <w:bCs/>
        </w:rPr>
        <w:t xml:space="preserve">2</w:t>
      </w:r>
      <w:r>
        <w:t xml:space="preserve">, 121–124 (2012). https://doi.org/10.1038/nclimate1347</w:t>
      </w:r>
    </w:p>
    <w:p>
      <w:pPr>
        <w:pStyle w:val="BodyText"/>
      </w:pPr>
      <w:r>
        <w:t xml:space="preserve">Dickinson, J. L., Zuckerberg, B. &amp; Bonter, D. N. Citizen science as an ecological research tool: challenges and benefits.</w:t>
      </w:r>
      <w:r>
        <w:t xml:space="preserve"> </w:t>
      </w:r>
      <w:r>
        <w:rPr>
          <w:i/>
          <w:iCs/>
        </w:rPr>
        <w:t xml:space="preserve">Annu. Rev. Ecol. Evol. Syst.</w:t>
      </w:r>
      <w:r>
        <w:t xml:space="preserve"> </w:t>
      </w:r>
      <w:r>
        <w:rPr>
          <w:b/>
          <w:bCs/>
        </w:rPr>
        <w:t xml:space="preserve">41</w:t>
      </w:r>
      <w:r>
        <w:t xml:space="preserve">, 149–172 (2010). https://doi.org/10.1146/annurev-ecolsys-102209-144636</w:t>
      </w:r>
    </w:p>
    <w:p>
      <w:pPr>
        <w:pStyle w:val="BodyText"/>
      </w:pPr>
      <w:r>
        <w:t xml:space="preserve">Ding, C., Ding, J., Qiao, H., Jiang, Z. &amp; Wang, Z. Taxonomic and spatiotemporal patterns and ecological correlates of new mammal distribution records in China.</w:t>
      </w:r>
      <w:r>
        <w:t xml:space="preserve"> </w:t>
      </w:r>
      <w:r>
        <w:rPr>
          <w:i/>
          <w:iCs/>
        </w:rPr>
        <w:t xml:space="preserve">Glob. Ecol. Biogeogr.</w:t>
      </w:r>
      <w:r>
        <w:t xml:space="preserve"> </w:t>
      </w:r>
      <w:r>
        <w:rPr>
          <w:b/>
          <w:bCs/>
        </w:rPr>
        <w:t xml:space="preserve">34</w:t>
      </w:r>
      <w:r>
        <w:t xml:space="preserve">, e70165 (2025). https://doi.org/10.1111/geb.70165</w:t>
      </w:r>
    </w:p>
    <w:p>
      <w:pPr>
        <w:pStyle w:val="BodyText"/>
      </w:pPr>
      <w:r>
        <w:t xml:space="preserve">Ding, C. et al. A dataset of provincial-level new distribution records for birds in China from 2000 to 2025.</w:t>
      </w:r>
      <w:r>
        <w:t xml:space="preserve"> </w:t>
      </w:r>
      <w:r>
        <w:rPr>
          <w:i/>
          <w:iCs/>
        </w:rPr>
        <w:t xml:space="preserve">Sci. Data</w:t>
      </w:r>
      <w:r>
        <w:t xml:space="preserve"> </w:t>
      </w:r>
      <w:r>
        <w:t xml:space="preserve">(submitted).</w:t>
      </w:r>
    </w:p>
    <w:p>
      <w:pPr>
        <w:pStyle w:val="BodyText"/>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pStyle w:val="BodyText"/>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pStyle w:val="BodyText"/>
      </w:pPr>
      <w:r>
        <w:t xml:space="preserve">Elith, J., Phillips, S. J., Hastie, T., Dudík, M., Chee, Y. E. &amp; Yates, C. J. A statistical explanation of MaxEnt for ecologists.</w:t>
      </w:r>
      <w:r>
        <w:t xml:space="preserve"> </w:t>
      </w:r>
      <w:r>
        <w:rPr>
          <w:i/>
          <w:iCs/>
        </w:rPr>
        <w:t xml:space="preserve">Divers. Distrib.</w:t>
      </w:r>
      <w:r>
        <w:t xml:space="preserve"> </w:t>
      </w:r>
      <w:r>
        <w:rPr>
          <w:b/>
          <w:bCs/>
        </w:rPr>
        <w:t xml:space="preserve">17</w:t>
      </w:r>
      <w:r>
        <w:t xml:space="preserve">, 43–57 (2011). https://doi.org/10.1111/j.1472-4642.2010.00725.x</w:t>
      </w:r>
    </w:p>
    <w:p>
      <w:pPr>
        <w:pStyle w:val="BodyText"/>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pStyle w:val="BodyText"/>
      </w:pPr>
      <w:r>
        <w:t xml:space="preserve">Fink, D. et al. Modeling avian full annual cycle distribution and population trends with citizen science data.</w:t>
      </w:r>
      <w:r>
        <w:t xml:space="preserve"> </w:t>
      </w:r>
      <w:r>
        <w:rPr>
          <w:i/>
          <w:iCs/>
        </w:rPr>
        <w:t xml:space="preserve">Ecol. Appl.</w:t>
      </w:r>
      <w:r>
        <w:t xml:space="preserve"> </w:t>
      </w:r>
      <w:r>
        <w:rPr>
          <w:b/>
          <w:bCs/>
        </w:rPr>
        <w:t xml:space="preserve">30</w:t>
      </w:r>
      <w:r>
        <w:t xml:space="preserve">, e02056 (2020). https://doi.org/10.1002/eap.2056</w:t>
      </w:r>
    </w:p>
    <w:p>
      <w:pPr>
        <w:pStyle w:val="BodyText"/>
      </w:pPr>
      <w:r>
        <w:t xml:space="preserve">Freeman, B. G., Scholer, M. N., Ruiz-Gutierrez, V. &amp; Fitzpatrick, J. W. Climate change causes upslope shifts and mountaintop extirpations in a tropical bird community.</w:t>
      </w:r>
      <w:r>
        <w:t xml:space="preserve"> </w:t>
      </w:r>
      <w:r>
        <w:rPr>
          <w:i/>
          <w:iCs/>
        </w:rPr>
        <w:t xml:space="preserve">Proc. Natl Acad. Sci. USA</w:t>
      </w:r>
      <w:r>
        <w:t xml:space="preserve"> </w:t>
      </w:r>
      <w:r>
        <w:rPr>
          <w:b/>
          <w:bCs/>
        </w:rPr>
        <w:t xml:space="preserve">115</w:t>
      </w:r>
      <w:r>
        <w:t xml:space="preserve">, 11982–11987 (2018). https://doi.org/10.1073/pnas.1804224115</w:t>
      </w:r>
    </w:p>
    <w:p>
      <w:pPr>
        <w:pStyle w:val="BodyText"/>
      </w:pPr>
      <w:r>
        <w:t xml:space="preserve">Guillera-Arroita, G. et al. Is my species distribution model fit for purpose? Matching data and models to applications.</w:t>
      </w:r>
      <w:r>
        <w:t xml:space="preserve"> </w:t>
      </w:r>
      <w:r>
        <w:rPr>
          <w:i/>
          <w:iCs/>
        </w:rPr>
        <w:t xml:space="preserve">Glob. Ecol. Biogeogr.</w:t>
      </w:r>
      <w:r>
        <w:t xml:space="preserve"> </w:t>
      </w:r>
      <w:r>
        <w:rPr>
          <w:b/>
          <w:bCs/>
        </w:rPr>
        <w:t xml:space="preserve">24</w:t>
      </w:r>
      <w:r>
        <w:t xml:space="preserve">, 276–292 (2015). https://doi.org/10.1111/geb.12268</w:t>
      </w:r>
    </w:p>
    <w:p>
      <w:pPr>
        <w:pStyle w:val="BodyText"/>
      </w:pPr>
      <w:r>
        <w:t xml:space="preserve">Guillera-Arroita, G. Modelling of species distributions, range dynamics and communities under imperfect detection: advances, challenges and opportunities.</w:t>
      </w:r>
      <w:r>
        <w:t xml:space="preserve"> </w:t>
      </w:r>
      <w:r>
        <w:rPr>
          <w:i/>
          <w:iCs/>
        </w:rPr>
        <w:t xml:space="preserve">Ecography</w:t>
      </w:r>
      <w:r>
        <w:t xml:space="preserve"> </w:t>
      </w:r>
      <w:r>
        <w:rPr>
          <w:b/>
          <w:bCs/>
        </w:rPr>
        <w:t xml:space="preserve">40</w:t>
      </w:r>
      <w:r>
        <w:t xml:space="preserve">, 281–295 (2017). https://doi.org/10.1111/ecog.02445</w:t>
      </w:r>
    </w:p>
    <w:p>
      <w:pPr>
        <w:pStyle w:val="BodyText"/>
      </w:pPr>
      <w:r>
        <w:t xml:space="preserve">Guisan, A. &amp; Thuiller, W. Predicting species distribution: offering more than simple habitat models.</w:t>
      </w:r>
      <w:r>
        <w:t xml:space="preserve"> </w:t>
      </w:r>
      <w:r>
        <w:rPr>
          <w:i/>
          <w:iCs/>
        </w:rPr>
        <w:t xml:space="preserve">Ecol. Lett.</w:t>
      </w:r>
      <w:r>
        <w:t xml:space="preserve"> </w:t>
      </w:r>
      <w:r>
        <w:rPr>
          <w:b/>
          <w:bCs/>
        </w:rPr>
        <w:t xml:space="preserve">8</w:t>
      </w:r>
      <w:r>
        <w:t xml:space="preserve">, 993–1009 (2005). https://doi.org/10.1111/j.1461-0248.2005.00792.x</w:t>
      </w:r>
    </w:p>
    <w:p>
      <w:pPr>
        <w:pStyle w:val="BodyText"/>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pStyle w:val="BodyText"/>
      </w:pPr>
      <w:r>
        <w:t xml:space="preserve">Hartig, F. DHARMa: residual diagnostics for hierarchical (multi-level/mixed) regression models. R package version 0.4 (2024). https://CRAN.R-project.org/package=DHARMa</w:t>
      </w:r>
    </w:p>
    <w:p>
      <w:pPr>
        <w:pStyle w:val="BodyText"/>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pStyle w:val="BodyText"/>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pStyle w:val="BodyText"/>
      </w:pPr>
      <w:r>
        <w:t xml:space="preserve">Hurlbert, A. H. &amp; Liang, Z. Spatiotemporal variation in avian migration phenology: citizen science reveals effects of climate change.</w:t>
      </w:r>
      <w:r>
        <w:t xml:space="preserve"> </w:t>
      </w:r>
      <w:r>
        <w:rPr>
          <w:i/>
          <w:iCs/>
        </w:rPr>
        <w:t xml:space="preserve">PLoS ONE</w:t>
      </w:r>
      <w:r>
        <w:t xml:space="preserve"> </w:t>
      </w:r>
      <w:r>
        <w:rPr>
          <w:b/>
          <w:bCs/>
        </w:rPr>
        <w:t xml:space="preserve">7</w:t>
      </w:r>
      <w:r>
        <w:t xml:space="preserve">, e31662 (2012). https://doi.org/10.1371/journal.pone.0031662</w:t>
      </w:r>
    </w:p>
    <w:p>
      <w:pPr>
        <w:pStyle w:val="BodyText"/>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pStyle w:val="BodyText"/>
      </w:pPr>
      <w:r>
        <w:t xml:space="preserve">Johnston, A. et al. Analytical guidelines to increase the value of community science data: an example using eBird data to estimate species distributions.</w:t>
      </w:r>
      <w:r>
        <w:t xml:space="preserve"> </w:t>
      </w:r>
      <w:r>
        <w:rPr>
          <w:i/>
          <w:iCs/>
        </w:rPr>
        <w:t xml:space="preserve">Divers. Distrib.</w:t>
      </w:r>
      <w:r>
        <w:t xml:space="preserve"> </w:t>
      </w:r>
      <w:r>
        <w:rPr>
          <w:b/>
          <w:bCs/>
        </w:rPr>
        <w:t xml:space="preserve">27</w:t>
      </w:r>
      <w:r>
        <w:t xml:space="preserve">, 1265–1277 (2021). https://doi.org/10.1111/ddi.13271</w:t>
      </w:r>
    </w:p>
    <w:p>
      <w:pPr>
        <w:pStyle w:val="BodyText"/>
      </w:pPr>
      <w:r>
        <w:t xml:space="preserve">Kelling, S. et al.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 https://doi.org/10.1093/biosci/biz010</w:t>
      </w:r>
    </w:p>
    <w:p>
      <w:pPr>
        <w:pStyle w:val="BodyText"/>
      </w:pPr>
      <w:r>
        <w:t xml:space="preserve">Miller-ter Kuile, A. et al. If you’re rare, should I care? How imperfect detection changes relationships between biodiversity and global change drivers.</w:t>
      </w:r>
      <w:r>
        <w:t xml:space="preserve"> </w:t>
      </w:r>
      <w:r>
        <w:rPr>
          <w:i/>
          <w:iCs/>
        </w:rPr>
        <w:t xml:space="preserve">Glob. Change Biol.</w:t>
      </w:r>
      <w:r>
        <w:t xml:space="preserve"> </w:t>
      </w:r>
      <w:r>
        <w:rPr>
          <w:b/>
          <w:bCs/>
        </w:rPr>
        <w:t xml:space="preserve">31</w:t>
      </w:r>
      <w:r>
        <w:t xml:space="preserve">, e70362 (2025). https://doi.org/10.1111/gcb.70362</w:t>
      </w:r>
    </w:p>
    <w:p>
      <w:pPr>
        <w:pStyle w:val="BodyText"/>
      </w:pPr>
      <w:r>
        <w:t xml:space="preserve">Kéry, M., Royle, J. A., Schmid, H. et al. Importance of sampling design and analysis in animal population studies.</w:t>
      </w:r>
      <w:r>
        <w:t xml:space="preserve"> </w:t>
      </w:r>
      <w:r>
        <w:rPr>
          <w:i/>
          <w:iCs/>
        </w:rPr>
        <w:t xml:space="preserve">J. Appl. Ecol.</w:t>
      </w:r>
      <w:r>
        <w:t xml:space="preserve"> </w:t>
      </w:r>
      <w:r>
        <w:rPr>
          <w:b/>
          <w:bCs/>
        </w:rPr>
        <w:t xml:space="preserve">45</w:t>
      </w:r>
      <w:r>
        <w:t xml:space="preserve">, 981–986 (2008). https://doi.org/10.1111/j.1365-2664.2007.01421.x</w:t>
      </w:r>
    </w:p>
    <w:p>
      <w:pPr>
        <w:pStyle w:val="BodyText"/>
      </w:pPr>
      <w:r>
        <w:t xml:space="preserve">Lahoz-Monfort, J. J. &amp; Magrath, M. J. L. A comprehensive overview of technologies for species and habitat monitoring and conservation.</w:t>
      </w:r>
      <w:r>
        <w:t xml:space="preserve"> </w:t>
      </w:r>
      <w:r>
        <w:rPr>
          <w:i/>
          <w:iCs/>
        </w:rPr>
        <w:t xml:space="preserve">BioScience</w:t>
      </w:r>
      <w:r>
        <w:t xml:space="preserve"> </w:t>
      </w:r>
      <w:r>
        <w:rPr>
          <w:b/>
          <w:bCs/>
        </w:rPr>
        <w:t xml:space="preserve">71</w:t>
      </w:r>
      <w:r>
        <w:t xml:space="preserve">, 1038–1062 (2021). https://doi.org/10.1093/biosci/biab073</w:t>
      </w:r>
    </w:p>
    <w:p>
      <w:pPr>
        <w:pStyle w:val="BodyText"/>
      </w:pPr>
      <w:r>
        <w:t xml:space="preserve">Lehikoinen, A. et al. Declining population trends of European mountain birds.</w:t>
      </w:r>
      <w:r>
        <w:t xml:space="preserve"> </w:t>
      </w:r>
      <w:r>
        <w:rPr>
          <w:i/>
          <w:iCs/>
        </w:rPr>
        <w:t xml:space="preserve">Glob. Change Biol.</w:t>
      </w:r>
      <w:r>
        <w:t xml:space="preserve"> </w:t>
      </w:r>
      <w:r>
        <w:rPr>
          <w:b/>
          <w:bCs/>
        </w:rPr>
        <w:t xml:space="preserve">25</w:t>
      </w:r>
      <w:r>
        <w:t xml:space="preserve">, 577–588 (2019). https://doi.org/10.1111/gcb.14522</w:t>
      </w:r>
    </w:p>
    <w:p>
      <w:pPr>
        <w:pStyle w:val="BodyText"/>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pStyle w:val="BodyText"/>
      </w:pPr>
      <w:r>
        <w:t xml:space="preserve">Lenoir, J. et al. Species better track climate warming in the oceans than on land.</w:t>
      </w:r>
      <w:r>
        <w:t xml:space="preserve"> </w:t>
      </w:r>
      <w:r>
        <w:rPr>
          <w:i/>
          <w:iCs/>
        </w:rPr>
        <w:t xml:space="preserve">Nat. Ecol. Evol.</w:t>
      </w:r>
      <w:r>
        <w:t xml:space="preserve"> </w:t>
      </w:r>
      <w:r>
        <w:rPr>
          <w:b/>
          <w:bCs/>
        </w:rPr>
        <w:t xml:space="preserve">4</w:t>
      </w:r>
      <w:r>
        <w:t xml:space="preserve">, 1044–1059 (2020). https://doi.org/10.1038/s41559-020-1198-2</w:t>
      </w:r>
    </w:p>
    <w:p>
      <w:pPr>
        <w:pStyle w:val="BodyText"/>
      </w:pPr>
      <w:r>
        <w:t xml:space="preserve">Loarie, S. R. et al. The velocity of climate change.</w:t>
      </w:r>
      <w:r>
        <w:t xml:space="preserve"> </w:t>
      </w:r>
      <w:r>
        <w:rPr>
          <w:i/>
          <w:iCs/>
        </w:rPr>
        <w:t xml:space="preserve">Nature</w:t>
      </w:r>
      <w:r>
        <w:t xml:space="preserve"> </w:t>
      </w:r>
      <w:r>
        <w:rPr>
          <w:b/>
          <w:bCs/>
        </w:rPr>
        <w:t xml:space="preserve">462</w:t>
      </w:r>
      <w:r>
        <w:t xml:space="preserve">, 1052–1055 (2009). https://doi.org/10.1038/nature08649</w:t>
      </w:r>
    </w:p>
    <w:p>
      <w:pPr>
        <w:pStyle w:val="BodyText"/>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pStyle w:val="BodyText"/>
      </w:pPr>
      <w:r>
        <w:t xml:space="preserve">MacKenzie, D. I. et al.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 https://doi.org/10.1890/0012-9658(2002)083[2248:ESORWD]2.0.CO;2</w:t>
      </w:r>
    </w:p>
    <w:p>
      <w:pPr>
        <w:pStyle w:val="BodyText"/>
      </w:pPr>
      <w:r>
        <w:t xml:space="preserve">Mahony, C. R., Cannon, A. J., Wang, T. &amp; Aitken, S. N. A closer look at novel climates: new methods and insights at continental to landscape scales.</w:t>
      </w:r>
      <w:r>
        <w:t xml:space="preserve"> </w:t>
      </w:r>
      <w:r>
        <w:rPr>
          <w:i/>
          <w:iCs/>
        </w:rPr>
        <w:t xml:space="preserve">Glob. Change Biol.</w:t>
      </w:r>
      <w:r>
        <w:t xml:space="preserve"> </w:t>
      </w:r>
      <w:r>
        <w:rPr>
          <w:b/>
          <w:bCs/>
        </w:rPr>
        <w:t xml:space="preserve">23</w:t>
      </w:r>
      <w:r>
        <w:t xml:space="preserve">, 3934–3955 (2017). https://doi.org/10.1111/gcb.13645</w:t>
      </w:r>
    </w:p>
    <w:p>
      <w:pPr>
        <w:pStyle w:val="BodyText"/>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pStyle w:val="BodyText"/>
      </w:pPr>
      <w:r>
        <w:t xml:space="preserve">Meyer, C., Kreft, H., Guralnick, R. &amp; Jetz, W. Global priorities for an effective information basis of biodiversity distributions.</w:t>
      </w:r>
      <w:r>
        <w:t xml:space="preserve"> </w:t>
      </w:r>
      <w:r>
        <w:rPr>
          <w:i/>
          <w:iCs/>
        </w:rPr>
        <w:t xml:space="preserve">Nat. Commun.</w:t>
      </w:r>
      <w:r>
        <w:t xml:space="preserve"> </w:t>
      </w:r>
      <w:r>
        <w:rPr>
          <w:b/>
          <w:bCs/>
        </w:rPr>
        <w:t xml:space="preserve">6</w:t>
      </w:r>
      <w:r>
        <w:t xml:space="preserve">, 8221 (2015). https://doi.org/10.1038/ncomms9221</w:t>
      </w:r>
    </w:p>
    <w:p>
      <w:pPr>
        <w:pStyle w:val="BodyText"/>
      </w:pPr>
      <w:r>
        <w:t xml:space="preserve">Mi, X. et al. The global significance of biodiversity science in China: an overview.</w:t>
      </w:r>
      <w:r>
        <w:t xml:space="preserve"> </w:t>
      </w:r>
      <w:r>
        <w:rPr>
          <w:i/>
          <w:iCs/>
        </w:rPr>
        <w:t xml:space="preserve">Natl Sci. Rev.</w:t>
      </w:r>
      <w:r>
        <w:t xml:space="preserve"> </w:t>
      </w:r>
      <w:r>
        <w:rPr>
          <w:b/>
          <w:bCs/>
        </w:rPr>
        <w:t xml:space="preserve">8</w:t>
      </w:r>
      <w:r>
        <w:t xml:space="preserve">, nwab032 (2021). https://doi.org/10.1093/nsr/nwab032</w:t>
      </w:r>
    </w:p>
    <w:p>
      <w:pPr>
        <w:pStyle w:val="BodyText"/>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pStyle w:val="BodyText"/>
      </w:pPr>
      <w:r>
        <w:t xml:space="preserve">Mundlak, Y. On the pooling of time series and cross section data.</w:t>
      </w:r>
      <w:r>
        <w:t xml:space="preserve"> </w:t>
      </w:r>
      <w:r>
        <w:rPr>
          <w:i/>
          <w:iCs/>
        </w:rPr>
        <w:t xml:space="preserve">Econometrica</w:t>
      </w:r>
      <w:r>
        <w:t xml:space="preserve"> </w:t>
      </w:r>
      <w:r>
        <w:rPr>
          <w:b/>
          <w:bCs/>
        </w:rPr>
        <w:t xml:space="preserve">46</w:t>
      </w:r>
      <w:r>
        <w:t xml:space="preserve">, 69–85 (1978). https://doi.org/10.2307/1913646</w:t>
      </w:r>
    </w:p>
    <w:p>
      <w:pPr>
        <w:pStyle w:val="BodyText"/>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pStyle w:val="BodyText"/>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pStyle w:val="BodyText"/>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pStyle w:val="BodyText"/>
      </w:pPr>
      <w:r>
        <w:t xml:space="preserve">Pebesma, E. Simple Features for R: standardized support for spatial vector data.</w:t>
      </w:r>
      <w:r>
        <w:t xml:space="preserve"> </w:t>
      </w:r>
      <w:r>
        <w:rPr>
          <w:i/>
          <w:iCs/>
        </w:rPr>
        <w:t xml:space="preserve">R J.</w:t>
      </w:r>
      <w:r>
        <w:t xml:space="preserve"> </w:t>
      </w:r>
      <w:r>
        <w:rPr>
          <w:b/>
          <w:bCs/>
        </w:rPr>
        <w:t xml:space="preserve">10</w:t>
      </w:r>
      <w:r>
        <w:t xml:space="preserve">, 439–446 (2018). https://doi.org/10.32614/RJ-2018-009</w:t>
      </w:r>
    </w:p>
    <w:p>
      <w:pPr>
        <w:pStyle w:val="BodyText"/>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pStyle w:val="BodyText"/>
      </w:pPr>
      <w:r>
        <w:t xml:space="preserve">Phillips, S. J. et al. Sample selection bias and presence-only distribution models: implications for background and pseudo-absence data.</w:t>
      </w:r>
      <w:r>
        <w:t xml:space="preserve"> </w:t>
      </w:r>
      <w:r>
        <w:rPr>
          <w:i/>
          <w:iCs/>
        </w:rPr>
        <w:t xml:space="preserve">Ecol. Appl.</w:t>
      </w:r>
      <w:r>
        <w:t xml:space="preserve"> </w:t>
      </w:r>
      <w:r>
        <w:rPr>
          <w:b/>
          <w:bCs/>
        </w:rPr>
        <w:t xml:space="preserve">19</w:t>
      </w:r>
      <w:r>
        <w:t xml:space="preserve">, 181–197 (2009). https://doi.org/10.1890/07-2153.1</w:t>
      </w:r>
    </w:p>
    <w:p>
      <w:pPr>
        <w:pStyle w:val="BodyText"/>
      </w:pPr>
      <w:r>
        <w:t xml:space="preserve">Pinsky, M. L., Worm, B., Fogarty, M. J., Sarmiento, J. L. &amp; Levin, S. A. Marine taxa track local climate velocities.</w:t>
      </w:r>
      <w:r>
        <w:t xml:space="preserve"> </w:t>
      </w:r>
      <w:r>
        <w:rPr>
          <w:i/>
          <w:iCs/>
        </w:rPr>
        <w:t xml:space="preserve">Science</w:t>
      </w:r>
      <w:r>
        <w:t xml:space="preserve"> </w:t>
      </w:r>
      <w:r>
        <w:rPr>
          <w:b/>
          <w:bCs/>
        </w:rPr>
        <w:t xml:space="preserve">341</w:t>
      </w:r>
      <w:r>
        <w:t xml:space="preserve">, 1239–1242 (2013). https://doi.org/10.1126/science.1239352</w:t>
      </w:r>
    </w:p>
    <w:p>
      <w:pPr>
        <w:pStyle w:val="BodyText"/>
      </w:pPr>
      <w:r>
        <w:t xml:space="preserve">Poloczanska, E. S. et al. Global imprint of climate change on marine life.</w:t>
      </w:r>
      <w:r>
        <w:t xml:space="preserve"> </w:t>
      </w:r>
      <w:r>
        <w:rPr>
          <w:i/>
          <w:iCs/>
        </w:rPr>
        <w:t xml:space="preserve">Nat. Clim. Change</w:t>
      </w:r>
      <w:r>
        <w:t xml:space="preserve"> </w:t>
      </w:r>
      <w:r>
        <w:rPr>
          <w:b/>
          <w:bCs/>
        </w:rPr>
        <w:t xml:space="preserve">3</w:t>
      </w:r>
      <w:r>
        <w:t xml:space="preserve">, 919–925 (2013). https://doi.org/10.1038/nclimate1958</w:t>
      </w:r>
    </w:p>
    <w:p>
      <w:pPr>
        <w:pStyle w:val="BodyText"/>
      </w:pPr>
      <w:r>
        <w:t xml:space="preserve">Román-Palacios, C. &amp; Wiens, J. J. Recent responses to climate change reveal the drivers of species extinction and survival.</w:t>
      </w:r>
      <w:r>
        <w:t xml:space="preserve"> </w:t>
      </w:r>
      <w:r>
        <w:rPr>
          <w:i/>
          <w:iCs/>
        </w:rPr>
        <w:t xml:space="preserve">Proc. Natl Acad. Sci. USA</w:t>
      </w:r>
      <w:r>
        <w:t xml:space="preserve"> </w:t>
      </w:r>
      <w:r>
        <w:rPr>
          <w:b/>
          <w:bCs/>
        </w:rPr>
        <w:t xml:space="preserve">117</w:t>
      </w:r>
      <w:r>
        <w:t xml:space="preserve">, 4211–4217 (2020). https://doi.org/10.1073/pnas.1913007117</w:t>
      </w:r>
    </w:p>
    <w:p>
      <w:pPr>
        <w:pStyle w:val="BodyText"/>
      </w:pPr>
      <w:r>
        <w:t xml:space="preserve">Rosenberg, K. V. et al. Decline of the North American avifauna.</w:t>
      </w:r>
      <w:r>
        <w:t xml:space="preserve"> </w:t>
      </w:r>
      <w:r>
        <w:rPr>
          <w:i/>
          <w:iCs/>
        </w:rPr>
        <w:t xml:space="preserve">Science</w:t>
      </w:r>
      <w:r>
        <w:t xml:space="preserve"> </w:t>
      </w:r>
      <w:r>
        <w:rPr>
          <w:b/>
          <w:bCs/>
        </w:rPr>
        <w:t xml:space="preserve">366</w:t>
      </w:r>
      <w:r>
        <w:t xml:space="preserve">, 120–124 (2019). https://doi.org/10.1126/science.aaw1313</w:t>
      </w:r>
    </w:p>
    <w:p>
      <w:pPr>
        <w:pStyle w:val="BodyText"/>
      </w:pPr>
      <w:r>
        <w:t xml:space="preserve">Rumpf, S. B. et al. Range dynamics of mountain plants decrease with elevation.</w:t>
      </w:r>
      <w:r>
        <w:t xml:space="preserve"> </w:t>
      </w:r>
      <w:r>
        <w:rPr>
          <w:i/>
          <w:iCs/>
        </w:rPr>
        <w:t xml:space="preserve">Proc. Natl Acad. Sci. USA</w:t>
      </w:r>
      <w:r>
        <w:t xml:space="preserve"> </w:t>
      </w:r>
      <w:r>
        <w:rPr>
          <w:b/>
          <w:bCs/>
        </w:rPr>
        <w:t xml:space="preserve">115</w:t>
      </w:r>
      <w:r>
        <w:t xml:space="preserve">, 1848–1853 (2018). https://doi.org/10.1073/pnas.1713936115</w:t>
      </w:r>
    </w:p>
    <w:p>
      <w:pPr>
        <w:pStyle w:val="BodyText"/>
      </w:pPr>
      <w:r>
        <w:t xml:space="preserve">Scheffers, B. R. et al. The broad footprint of climate change from genes to biomes to people.</w:t>
      </w:r>
      <w:r>
        <w:t xml:space="preserve"> </w:t>
      </w:r>
      <w:r>
        <w:rPr>
          <w:i/>
          <w:iCs/>
        </w:rPr>
        <w:t xml:space="preserve">Science</w:t>
      </w:r>
      <w:r>
        <w:t xml:space="preserve"> </w:t>
      </w:r>
      <w:r>
        <w:rPr>
          <w:b/>
          <w:bCs/>
        </w:rPr>
        <w:t xml:space="preserve">354</w:t>
      </w:r>
      <w:r>
        <w:t xml:space="preserve">, aaf7671 (2016). https://doi.org/10.1126/science.aaf7671</w:t>
      </w:r>
    </w:p>
    <w:p>
      <w:pPr>
        <w:pStyle w:val="BodyText"/>
      </w:pPr>
      <w:r>
        <w:t xml:space="preserve">Schielzeth, H. &amp; Forstmeier, W. Conclusions beyond support: overconfident estimates in mixed models.</w:t>
      </w:r>
      <w:r>
        <w:t xml:space="preserve"> </w:t>
      </w:r>
      <w:r>
        <w:rPr>
          <w:i/>
          <w:iCs/>
        </w:rPr>
        <w:t xml:space="preserve">Behav. Ecol.</w:t>
      </w:r>
      <w:r>
        <w:t xml:space="preserve"> </w:t>
      </w:r>
      <w:r>
        <w:rPr>
          <w:b/>
          <w:bCs/>
        </w:rPr>
        <w:t xml:space="preserve">20</w:t>
      </w:r>
      <w:r>
        <w:t xml:space="preserve">, 416–420 (2009). https://doi.org/10.1093/beheco/arn145</w:t>
      </w:r>
    </w:p>
    <w:p>
      <w:pPr>
        <w:pStyle w:val="BodyText"/>
      </w:pPr>
      <w:r>
        <w:t xml:space="preserve">Schrodt, F. et al. Advancing causal inference in ecology: pathways for biodiversity change detection and attribution.</w:t>
      </w:r>
      <w:r>
        <w:t xml:space="preserve"> </w:t>
      </w:r>
      <w:r>
        <w:rPr>
          <w:i/>
          <w:iCs/>
        </w:rPr>
        <w:t xml:space="preserve">Methods Ecol. Evol.</w:t>
      </w:r>
      <w:r>
        <w:t xml:space="preserve"> </w:t>
      </w:r>
      <w:r>
        <w:rPr>
          <w:b/>
          <w:bCs/>
        </w:rPr>
        <w:t xml:space="preserve">16</w:t>
      </w:r>
      <w:r>
        <w:t xml:space="preserve">, 2276–2304 (2025). https://doi.org/10.1111/2041-210X.70131</w:t>
      </w:r>
    </w:p>
    <w:p>
      <w:pPr>
        <w:pStyle w:val="BodyText"/>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pStyle w:val="BodyText"/>
      </w:pPr>
      <w:r>
        <w:t xml:space="preserve">Sofaer, H. R. et al. Development and delivery of species distribution models to inform decision-making.</w:t>
      </w:r>
      <w:r>
        <w:t xml:space="preserve"> </w:t>
      </w:r>
      <w:r>
        <w:rPr>
          <w:i/>
          <w:iCs/>
        </w:rPr>
        <w:t xml:space="preserve">BioScience</w:t>
      </w:r>
      <w:r>
        <w:t xml:space="preserve"> </w:t>
      </w:r>
      <w:r>
        <w:rPr>
          <w:b/>
          <w:bCs/>
        </w:rPr>
        <w:t xml:space="preserve">69</w:t>
      </w:r>
      <w:r>
        <w:t xml:space="preserve">, 544–557 (2019). https://doi.org/10.1093/biosci/biz045</w:t>
      </w:r>
    </w:p>
    <w:p>
      <w:pPr>
        <w:pStyle w:val="BodyText"/>
      </w:pPr>
      <w:r>
        <w:t xml:space="preserve">La Sorte, F. A. &amp; Thompson, F. R. Poleward shifts in winter ranges of North American birds.</w:t>
      </w:r>
      <w:r>
        <w:t xml:space="preserve"> </w:t>
      </w:r>
      <w:r>
        <w:rPr>
          <w:i/>
          <w:iCs/>
        </w:rPr>
        <w:t xml:space="preserve">Ecology</w:t>
      </w:r>
      <w:r>
        <w:t xml:space="preserve"> </w:t>
      </w:r>
      <w:r>
        <w:rPr>
          <w:b/>
          <w:bCs/>
        </w:rPr>
        <w:t xml:space="preserve">88</w:t>
      </w:r>
      <w:r>
        <w:t xml:space="preserve">, 1803–1812 (2007). https://doi.org/10.1890/06-1072.1</w:t>
      </w:r>
    </w:p>
    <w:p>
      <w:pPr>
        <w:pStyle w:val="BodyText"/>
      </w:pPr>
      <w:r>
        <w:t xml:space="preserve">Steen, V. A., Elphick, C. S. &amp; Tingley, M. W. An evaluation of stringent filtering to improve species distribution models from citizen science data.</w:t>
      </w:r>
      <w:r>
        <w:t xml:space="preserve"> </w:t>
      </w:r>
      <w:r>
        <w:rPr>
          <w:i/>
          <w:iCs/>
        </w:rPr>
        <w:t xml:space="preserve">Divers. Distrib.</w:t>
      </w:r>
      <w:r>
        <w:t xml:space="preserve"> </w:t>
      </w:r>
      <w:r>
        <w:rPr>
          <w:b/>
          <w:bCs/>
        </w:rPr>
        <w:t xml:space="preserve">25</w:t>
      </w:r>
      <w:r>
        <w:t xml:space="preserve">, 1857–1869 (2019). https://doi.org/10.1111/ddi.12985</w:t>
      </w:r>
    </w:p>
    <w:p>
      <w:pPr>
        <w:pStyle w:val="BodyText"/>
      </w:pPr>
      <w:r>
        <w:t xml:space="preserve">van Strien, A. J., van Swaay, C. A. M. &amp; Termaat, T. Opportunistic citizen science data of animal species produce reliable estimates of distribution trends if analysed with occupancy models.</w:t>
      </w:r>
      <w:r>
        <w:t xml:space="preserve"> </w:t>
      </w:r>
      <w:r>
        <w:rPr>
          <w:i/>
          <w:iCs/>
        </w:rPr>
        <w:t xml:space="preserve">J. Appl. Ecol.</w:t>
      </w:r>
      <w:r>
        <w:t xml:space="preserve"> </w:t>
      </w:r>
      <w:r>
        <w:rPr>
          <w:b/>
          <w:bCs/>
        </w:rPr>
        <w:t xml:space="preserve">50</w:t>
      </w:r>
      <w:r>
        <w:t xml:space="preserve">, 1450–1458 (2013). https://doi.org/10.1111/1365-2664.12158</w:t>
      </w:r>
    </w:p>
    <w:p>
      <w:pPr>
        <w:pStyle w:val="BodyText"/>
      </w:pPr>
      <w:r>
        <w:t xml:space="preserve">Sullivan, B. L. et al. eBird: a citizen-based bird observation network in the biological sciences.</w:t>
      </w:r>
      <w:r>
        <w:t xml:space="preserve"> </w:t>
      </w:r>
      <w:r>
        <w:rPr>
          <w:i/>
          <w:iCs/>
        </w:rPr>
        <w:t xml:space="preserve">Biol. Conserv.</w:t>
      </w:r>
      <w:r>
        <w:t xml:space="preserve"> </w:t>
      </w:r>
      <w:r>
        <w:rPr>
          <w:b/>
          <w:bCs/>
        </w:rPr>
        <w:t xml:space="preserve">142</w:t>
      </w:r>
      <w:r>
        <w:t xml:space="preserve">, 2282–2292 (2009). https://doi.org/10.1016/j.biocon.2009.05.006</w:t>
      </w:r>
    </w:p>
    <w:p>
      <w:pPr>
        <w:pStyle w:val="BodyText"/>
      </w:pPr>
      <w:r>
        <w:t xml:space="preserve">Sunday, J. M., Bates, A. E. &amp; Dulvy, N. K. Thermal tolerance and the global redistribution of animals.</w:t>
      </w:r>
      <w:r>
        <w:t xml:space="preserve"> </w:t>
      </w:r>
      <w:r>
        <w:rPr>
          <w:i/>
          <w:iCs/>
        </w:rPr>
        <w:t xml:space="preserve">Nat. Clim. Change</w:t>
      </w:r>
      <w:r>
        <w:t xml:space="preserve"> </w:t>
      </w:r>
      <w:r>
        <w:rPr>
          <w:b/>
          <w:bCs/>
        </w:rPr>
        <w:t xml:space="preserve">2</w:t>
      </w:r>
      <w:r>
        <w:t xml:space="preserve">, 686–690 (2012). https://doi.org/10.1038/nclimate1539</w:t>
      </w:r>
    </w:p>
    <w:p>
      <w:pPr>
        <w:pStyle w:val="BodyText"/>
      </w:pPr>
      <w:r>
        <w:t xml:space="preserve">Thomas, C. D. Climate, climate change and range boundaries.</w:t>
      </w:r>
      <w:r>
        <w:t xml:space="preserve"> </w:t>
      </w:r>
      <w:r>
        <w:rPr>
          <w:i/>
          <w:iCs/>
        </w:rPr>
        <w:t xml:space="preserve">Divers. Distrib.</w:t>
      </w:r>
      <w:r>
        <w:t xml:space="preserve"> </w:t>
      </w:r>
      <w:r>
        <w:rPr>
          <w:b/>
          <w:bCs/>
        </w:rPr>
        <w:t xml:space="preserve">16</w:t>
      </w:r>
      <w:r>
        <w:t xml:space="preserve">, 488–495 (2010). https://doi.org/10.1111/j.1472-4642.2010.00642.x</w:t>
      </w:r>
    </w:p>
    <w:p>
      <w:pPr>
        <w:pStyle w:val="BodyText"/>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pStyle w:val="BodyText"/>
      </w:pPr>
      <w:r>
        <w:t xml:space="preserve">Tredennick, A. T., Hooker, G., Ellner, S. P. &amp; Adler, P. B. A practical guide to selecting models for exploration, inference, and prediction in ecology.</w:t>
      </w:r>
      <w:r>
        <w:t xml:space="preserve"> </w:t>
      </w:r>
      <w:r>
        <w:rPr>
          <w:i/>
          <w:iCs/>
        </w:rPr>
        <w:t xml:space="preserve">Ecology</w:t>
      </w:r>
      <w:r>
        <w:t xml:space="preserve"> </w:t>
      </w:r>
      <w:r>
        <w:rPr>
          <w:b/>
          <w:bCs/>
        </w:rPr>
        <w:t xml:space="preserve">102</w:t>
      </w:r>
      <w:r>
        <w:t xml:space="preserve">, e03336 (2021). https://doi.org/10.1002/ecy.3336</w:t>
      </w:r>
    </w:p>
    <w:p>
      <w:pPr>
        <w:pStyle w:val="BodyText"/>
      </w:pPr>
      <w:r>
        <w:t xml:space="preserve">Williams, J. W. &amp; Jackson, S. T. Novel climates, no-analog communities, and ecological surprises.</w:t>
      </w:r>
      <w:r>
        <w:t xml:space="preserve"> </w:t>
      </w:r>
      <w:r>
        <w:rPr>
          <w:i/>
          <w:iCs/>
        </w:rPr>
        <w:t xml:space="preserve">Front. Ecol. Environ.</w:t>
      </w:r>
      <w:r>
        <w:t xml:space="preserve"> </w:t>
      </w:r>
      <w:r>
        <w:rPr>
          <w:b/>
          <w:bCs/>
        </w:rPr>
        <w:t xml:space="preserve">5</w:t>
      </w:r>
      <w:r>
        <w:t xml:space="preserve">, 475–482 (2007). https://doi.org/10.1890/070037</w:t>
      </w:r>
    </w:p>
    <w:p>
      <w:pPr>
        <w:pStyle w:val="BodyText"/>
      </w:pPr>
      <w:r>
        <w:t xml:space="preserve">Xing, X. et al. Where are the provincial-level new records in China from the past 20 years?</w:t>
      </w:r>
      <w:r>
        <w:t xml:space="preserve"> </w:t>
      </w:r>
      <w:r>
        <w:rPr>
          <w:i/>
          <w:iCs/>
        </w:rPr>
        <w:t xml:space="preserve">Front. Ecol. Evol.</w:t>
      </w:r>
      <w:r>
        <w:t xml:space="preserve"> </w:t>
      </w:r>
      <w:r>
        <w:rPr>
          <w:b/>
          <w:bCs/>
        </w:rPr>
        <w:t xml:space="preserve">12</w:t>
      </w:r>
      <w:r>
        <w:t xml:space="preserve">, 1415268 (2024). https://doi.org/10.3389/fevo.2024.1415268</w:t>
      </w:r>
    </w:p>
    <w:p>
      <w:pPr>
        <w:pStyle w:val="BodyText"/>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pStyle w:val="BodyText"/>
      </w:pPr>
      <w:r>
        <w:t xml:space="preserve">Zizka, A. et al. CoordinateCleaner: standardized cleaning of occurrence records from biological collection databases.</w:t>
      </w:r>
      <w:r>
        <w:t xml:space="preserve"> </w:t>
      </w:r>
      <w:r>
        <w:rPr>
          <w:i/>
          <w:iCs/>
        </w:rPr>
        <w:t xml:space="preserve">Methods Ecol. Evol.</w:t>
      </w:r>
      <w:r>
        <w:t xml:space="preserve"> </w:t>
      </w:r>
      <w:r>
        <w:rPr>
          <w:b/>
          <w:bCs/>
        </w:rPr>
        <w:t xml:space="preserve">10</w:t>
      </w:r>
      <w:r>
        <w:t xml:space="preserve">, 744–751 (2019). https://doi.org/10.1111/2041-210X.13152</w:t>
      </w:r>
    </w:p>
    <w:p>
      <w:pPr>
        <w:pStyle w:val="BodyText"/>
      </w:pPr>
      <w:r>
        <w:t xml:space="preserve">Zurell, D., Elith, J. &amp; Schröder, B. Predicting to new environments: tools for visualizing model behaviour and impacts on mapped distributions.</w:t>
      </w:r>
      <w:r>
        <w:t xml:space="preserve"> </w:t>
      </w:r>
      <w:r>
        <w:rPr>
          <w:i/>
          <w:iCs/>
        </w:rPr>
        <w:t xml:space="preserve">Divers. Distrib.</w:t>
      </w:r>
      <w:r>
        <w:t xml:space="preserve"> </w:t>
      </w:r>
      <w:r>
        <w:rPr>
          <w:b/>
          <w:bCs/>
        </w:rPr>
        <w:t xml:space="preserve">18</w:t>
      </w:r>
      <w:r>
        <w:t xml:space="preserve">, 628–634 (2012). https://doi.org/10.1111/j.1472-4642.2012.00887.x</w:t>
      </w:r>
    </w:p>
    <w:bookmarkEnd w:id="37"/>
    <w:bookmarkEnd w:id="38"/>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2026-08-13T14:11:31Z</dcterms:created>
  <dcterms:modified xsi:type="dcterms:W3CDTF">2026-08-13T14:11:31Z</dcterms:modified>
</cp:coreProperties>
</file>

<file path=docProps/custom.xml><?xml version="1.0" encoding="utf-8"?>
<Properties xmlns="http://schemas.openxmlformats.org/officeDocument/2006/custom-properties" xmlns:vt="http://schemas.openxmlformats.org/officeDocument/2006/docPropsVTypes"/>
</file>