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Documented range shifts confound where species occur with where people look. We model the annual hazard of a first provincial record across a complete species-by-province-by-year risk set for 1,029 new bird records in China (2002–2024). Publication-year dating, the near-universal practice, inflates the apparent contribution of survey effort by 37%; accumulated warming is unchanged. After correction, accumulated warming relative to a species’ historical range (hazard ratio 1.36 per SD, 95% CI 1.22–1.52) and survey effort (1.40, 1.25–1.58) contribute comparably. Permutation nulls centre the warming null on 1.157 (increment ≈1.18) and collapse effort to 0.980 when temporal alignment is broken. A province-by-year random intercept, the largest variance component, raises conditional discrimination from 0.72 to 0.85; effort’s marginal return declines through time, warming’s does not; and records cluster east and northeast of species’ ranges. Documented range gains reflect climate and observation in roughly equal measure; the record’s date decides which appears to dominate.</w:t>
      </w:r>
    </w:p>
    <w:bookmarkEnd w:id="9"/>
    <w:bookmarkStart w:id="10" w:name="introduction"/>
    <w:p>
      <w:pPr>
        <w:pStyle w:val="Heading2"/>
      </w:pPr>
      <w:r>
        <w:t xml:space="preserve">Introduction</w:t>
      </w:r>
    </w:p>
    <w:p>
      <w:pPr>
        <w:pStyle w:val="FirstParagraph"/>
      </w:pPr>
      <w:r>
        <w:t xml:space="preserve">Documented species distributions are a joint product of where organisms occur and where people look</w:t>
      </w:r>
      <w:r>
        <w:rPr>
          <w:vertAlign w:val="superscript"/>
        </w:rPr>
        <w:t xml:space="preserve">1–4</w:t>
      </w:r>
      <w:r>
        <w:t xml:space="preserve">. The inferential consequences remain incompletely handled in the literature on climate-driven range shifts</w:t>
      </w:r>
      <w:r>
        <w:rPr>
          <w:vertAlign w:val="superscript"/>
        </w:rPr>
        <w:t xml:space="preserve">5–8</w:t>
      </w:r>
      <w:r>
        <w:t xml:space="preserve">. When a species is reported for the first time from an administrative unit, the record is often read as evidence of range expansion; the same record is equally consistent with a long-standing population only now detected, or with a stable population in a region whose observer base has recently grown</w:t>
      </w:r>
      <w:r>
        <w:rPr>
          <w:vertAlign w:val="superscript"/>
        </w:rPr>
        <w:t xml:space="preserve">16,19–21</w:t>
      </w:r>
      <w:r>
        <w:t xml:space="preserve">. What is at stake is whether a body of records constitutes evidence of biodiversity redistribution or of the filling of the Wallacean shortfall</w:t>
      </w:r>
      <w:r>
        <w:rPr>
          <w:vertAlign w:val="superscript"/>
        </w:rPr>
        <w:t xml:space="preserve">1,2</w:t>
      </w:r>
      <w:r>
        <w:t xml:space="preserve">.</w:t>
      </w:r>
    </w:p>
    <w:p>
      <w:pPr>
        <w:pStyle w:val="BodyText"/>
      </w:pPr>
      <w:r>
        <w:t xml:space="preserve">China offers unusual leverage on this problem. Over the past two decades the country has warmed rapidly while its birdwatching community expanded from a few thousand to hundreds of thousands of participants, and a national compilation of provincial-level new bird records now exists with dates of discovery as well as of publication</w:t>
      </w:r>
      <w:r>
        <w:rPr>
          <w:vertAlign w:val="superscript"/>
        </w:rPr>
        <w:t xml:space="preserve">9,25,37</w:t>
      </w:r>
      <w:r>
        <w:t xml:space="preserve">. The simultaneous expansion of the climatic and the observational signal is what makes attribution hard, and what makes a formal risk-set analysis necessary.</w:t>
      </w:r>
    </w:p>
    <w:p>
      <w:pPr>
        <w:pStyle w:val="BodyText"/>
      </w:pPr>
      <w:r>
        <w:t xml:space="preserve">Three specific gaps motivate this study.</w:t>
      </w:r>
    </w:p>
    <w:p>
      <w:pPr>
        <w:pStyle w:val="BodyText"/>
      </w:pPr>
      <w:r>
        <w:rPr>
          <w:b/>
          <w:bCs/>
        </w:rPr>
        <w:t xml:space="preserve">First, the temporal alignment of events has not been examined.</w:t>
      </w:r>
      <w:r>
        <w:t xml:space="preserve"> </w:t>
      </w:r>
      <w:r>
        <w:t xml:space="preserve">Records compiled from the literature carry two dates: when the bird was seen, and when the paper appeared. Almost all analyses use the latter, the field that primary sources reliably report. Publication lag is a right-skewed delay that is correlated in aggregate with the growth of the observational infrastructure. Aligning an event to the year of publication therefore aligns it to a year in which the effort database was systematically larger, manufacturing covariance between effort and event occurrence.</w:t>
      </w:r>
    </w:p>
    <w:p>
      <w:pPr>
        <w:pStyle w:val="BodyText"/>
      </w:pPr>
      <w:r>
        <w:rPr>
          <w:b/>
          <w:bCs/>
        </w:rPr>
        <w:t xml:space="preserve">Second, the observation process operates at a spatiotemporal scale that most models do not represent.</w:t>
      </w:r>
      <w:r>
        <w:t xml:space="preserve"> </w:t>
      </w:r>
      <w:r>
        <w:t xml:space="preserve">Regional survey campaigns, provincial birdwatching festivals, new protected areas and local reporting channels act at the level of a particular province in a particular year. A model with species and region random intercepts, the conventional choice</w:t>
      </w:r>
      <w:r>
        <w:rPr>
          <w:vertAlign w:val="superscript"/>
        </w:rPr>
        <w:t xml:space="preserve">55</w:t>
      </w:r>
      <w:r>
        <w:t xml:space="preserve">, cannot absorb this variation; it leaks into the fixed effects and inflates whichever covariate happens to trend with observational capacity.</w:t>
      </w:r>
    </w:p>
    <w:p>
      <w:pPr>
        <w:pStyle w:val="BodyText"/>
      </w:pPr>
      <w:r>
        <w:rPr>
          <w:b/>
          <w:bCs/>
        </w:rPr>
        <w:t xml:space="preserve">Third, projections of future record generation have been made without checking whether the scenarios lie inside the fitted data.</w:t>
      </w:r>
      <w:r>
        <w:t xml:space="preserve"> </w:t>
      </w:r>
      <w:r>
        <w:t xml:space="preserve">Species-specific climate gradients are differences between two anomalies that largely covary, so their historical standard deviation is small. Future warming differentials between a province and a species’ range are not small. The ratio between the two determines how far any projection extrapolates, and this ratio has not been reported.</w:t>
      </w:r>
    </w:p>
    <w:p>
      <w:pPr>
        <w:pStyle w:val="BodyText"/>
      </w:pPr>
      <w:r>
        <w:t xml:space="preserve">Here we address all three. We construct a complete risk set — every species × province × year cell in which a new record could have occurred, with absorbing exit after the first record — and model the annual hazard with a complementary log-log link, the discrete-time analogue of a proportional-hazards model</w:t>
      </w:r>
      <w:r>
        <w:rPr>
          <w:vertAlign w:val="superscript"/>
        </w:rPr>
        <w:t xml:space="preserve">72,73</w:t>
      </w:r>
      <w:r>
        <w:t xml:space="preserve">. We re-date every event to its year of discovery, correct the resulting right-censoring with an explicit reporting-completeness offset, treat structurally implausible zeros in the effort database as coverage gaps rather than true absences of observation, and add a province-by-year random intercept. We quantify how much each correction matters with a decomposition in which exactly one thing changes at a time.</w:t>
      </w:r>
    </w:p>
    <w:p>
      <w:pPr>
        <w:pStyle w:val="BodyText"/>
      </w:pPr>
      <w:r>
        <w:t xml:space="preserve">We ask three questions. (i) How large is the bias introduced by publication-year dating, and which coefficients does it affect? (ii) Once corrected, what are the relative contributions of accumulated warming and survey effort to the hazard of a new record, and do they interact? (iii) Over what range of future conditions can the fitted relationship legitimately be projected? We hypothesised that effort would dominate, as reported previously</w:t>
      </w:r>
      <w:r>
        <w:rPr>
          <w:vertAlign w:val="superscript"/>
        </w:rPr>
        <w:t xml:space="preserve">10,37</w:t>
      </w:r>
      <w:r>
        <w:t xml:space="preserve">, and that the climate signal would be modest. Both expectations proved wrong in an informative way.</w:t>
      </w:r>
    </w:p>
    <w:bookmarkEnd w:id="10"/>
    <w:bookmarkStart w:id="24" w:name="results"/>
    <w:p>
      <w:pPr>
        <w:pStyle w:val="Heading2"/>
      </w:pPr>
      <w:r>
        <w:t xml:space="preserve">Results</w:t>
      </w:r>
    </w:p>
    <w:bookmarkStart w:id="11"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discovered before 2002 describe species already present at the start of the window and were removed from the risk set as prevalent rather than incident cases.</w:t>
      </w:r>
    </w:p>
    <w:p>
      <w:pPr>
        <w:pStyle w:val="BodyText"/>
      </w:pPr>
      <w:r>
        <w:t xml:space="preserve">Publication lags discovery by a median of one year and a mean of 2.09 years; 81.7% of records lag by at least one year and 26.8% by three or more (Fig. 1a). Re-dating changes the assigned year of 526 of 633 comparable events (83.1%), with a median shift of −1 year and a mean of −1.83 years. The two conventions produce qualitatively different time series (Fig. 1b): the publication-year series rises monotonically to 67 events in 2024, whereas the discovery-year series peaks at 59 in 2019 and falls to 14 in 2024. Neither series is clean: the publication-year rise aggregates delayed reports, and the discovery-year fall is right-censoring, which we corrected directly.</w:t>
      </w:r>
    </w:p>
    <w:p>
      <w:pPr>
        <w:pStyle w:val="BodyText"/>
      </w:pPr>
      <w:r>
        <w:t xml:space="preserve">Because the observed hazard under incomplete reporting is approximately the product of the true hazard and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Completeness was computed for each discovery year from the pooled empirical lag distribution, whose stationarity over the study period we verified (Supplementary Note S1), and the offset is included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bookmarkEnd w:id="11"/>
    <w:bookmarkStart w:id="12"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 1c; Table 1).</w:t>
      </w:r>
    </w:p>
    <w:p>
      <w:pPr>
        <w:pStyle w:val="BodyText"/>
      </w:pPr>
      <w:r>
        <w:t xml:space="preserve">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as is the interaction (0.876 → 0.859).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It also decorrelates the event from the weather of the year in which the bird was actually seen, which is why a spurious negative coefficient on annual climate variability appears under publication-year dating and disappears under discovery-year dating. Accumulated warming, being a fifteen-year trailing mean, is robust to a shift of one or two years — which is exactly why it survives the correction unchanged.</w:t>
      </w:r>
    </w:p>
    <w:bookmarkEnd w:id="12"/>
    <w:bookmarkStart w:id="13"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2a;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2b).</w:t>
      </w:r>
    </w:p>
    <w:p>
      <w:pPr>
        <w:pStyle w:val="BodyText"/>
      </w:pPr>
      <w:r>
        <w:t xml:space="preserve">Two qualifications follow from the resampling analyses (Supplementary Fig. S11). First, the reference point for the warming coefficient is not unity. Permuting accumulated warming among species within a province-year, or permuting the event indicator among the species at risk in a province-year, still returns a hazard ratio of 1.157–1.167, because both permutations preserve the covariance between provincial-annual climate and provincial-annual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structural baseline shared with the null. The effort coefficient behaves differently: permuting effort across years within a province collapses it to 0.980, with the null 95% interval covering unity, so it derives from the temporal alignment of effort and events rather than from any cross-sectional contrast between well- and poorly surveyed provinces. Second, the Wald intervals are slightly narrow with respect to provincial clustering. A cluster bootstrap resampling provinces widens them to 1.20–1.72 for warming and 1.21–1.76 for effort; both lower bounds still exceed unity, and the interaction remains bounded away from it (0.74–0.99).</w:t>
      </w:r>
    </w:p>
    <w:p>
      <w:pPr>
        <w:pStyle w:val="BodyText"/>
      </w:pPr>
      <w:r>
        <w:t xml:space="preserve">In natural units (Fig. 3c), one standard deviation of accumulated warming is</w:t>
      </w:r>
      <w:r>
        <w:t xml:space="preserve"> </w:t>
      </w:r>
      <w:r>
        <w:rPr>
          <w:b/>
          <w:bCs/>
        </w:rPr>
        <w:t xml:space="preserve">0.179 °C</w:t>
      </w:r>
      <w:r>
        <w:t xml:space="preserve">: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w:t>
      </w:r>
      <w:r>
        <w:t xml:space="preserve"> </w:t>
      </w:r>
      <w:r>
        <w:rPr>
          <w:b/>
          <w:bCs/>
        </w:rPr>
        <w:t xml:space="preserve">7.75-fold</w:t>
      </w:r>
      <w:r>
        <w:t xml:space="preserve"> </w:t>
      </w:r>
      <w:r>
        <w:t xml:space="preserve">increase in annual provincial visits, from a median of 60 visits per year to about 465.</w:t>
      </w:r>
    </w:p>
    <w:p>
      <w:pPr>
        <w:pStyle w:val="BodyText"/>
      </w:pPr>
      <w:r>
        <w:t xml:space="preserve">The climate variable is genuinely species-specific, not a relabelled regional index (Fig. 3a, b). Decomposing its variance, 39% of the variation in accumulated warming and 55% of the variation in the raw gradient arise</w:t>
      </w:r>
      <w:r>
        <w:t xml:space="preserve"> </w:t>
      </w:r>
      <w:r>
        <w:rPr>
          <w:i/>
          <w:iCs/>
        </w:rPr>
        <w:t xml:space="preserve">within</w:t>
      </w:r>
      <w:r>
        <w:t xml:space="preserve"> </w:t>
      </w:r>
      <w:r>
        <w:t xml:space="preserve">province-years, that is, purely from differences among species. In Yunnan in 2020,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cannot make that distinction.</w:t>
      </w:r>
    </w:p>
    <w:p>
      <w:pPr>
        <w:pStyle w:val="BodyText"/>
      </w:pPr>
      <w:r>
        <w:t xml:space="preserve">Four independent importance criteria agree that warming and effort are of comparable weight, with warming slightly ahead on discrimination (Fig. 2c). Dropping accumulated warming costs 28.7 AIC units and 0.053 of marginal AUC; dropping survey effort costs 29.5 AIC units and 0.032 of marginal AUC. The interaction costs 6.5 AIC units. Annual variability costs −2.0 AIC units, that is, the model is marginally better without it; we retain it because it is one half of a pre-specified decomposition and its null result is itself informative.</w:t>
      </w:r>
    </w:p>
    <w:p>
      <w:pPr>
        <w:pStyle w:val="BodyText"/>
      </w:pPr>
      <w:r>
        <w:t xml:space="preserve">The discrimination ladder makes the point most directly (Fig. 2d).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13"/>
    <w:bookmarkStart w:id="14"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Crucially, marginal AUC — the discrimination attributable to fixed effects — is flat across all six structures (0.607–0.613), confirming that the random structure absorbs observational heterogeneity without redistributing the fixed-effect signal.</w:t>
      </w:r>
    </w:p>
    <w:p>
      <w:pPr>
        <w:pStyle w:val="BodyText"/>
      </w:pPr>
      <w:r>
        <w:t xml:space="preserve">Two structures with random slopes fit marginally better — a species-specific slope on accumulated warming (ΔAIC 4.5) and a province-specific slope on effort (ΔAIC 0.0, the AIC optimum) —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and their fixed effects are indistinguishable from those of the main model (effort 1.397 and 1.372; warming 1.348 and 1.366; Supplementary Fig. S1). We therefore freeze the three-level intercept structure as the main model: it is the most parsimonious of the three indistinguishable options, it has the highest explanatory power, and every term has a direct ecological or observational reading. No variance component collapses in any structure (minimum standard deviation 0.274).</w:t>
      </w:r>
    </w:p>
    <w:bookmarkEnd w:id="14"/>
    <w:bookmarkStart w:id="15" w:name="what-each-level-of-the-model-means"/>
    <w:p>
      <w:pPr>
        <w:pStyle w:val="Heading3"/>
      </w:pPr>
      <w:r>
        <w:t xml:space="preserve">What each level of the model means</w:t>
      </w:r>
    </w:p>
    <w:p>
      <w:pPr>
        <w:pStyle w:val="FirstParagraph"/>
      </w:pPr>
      <w:r>
        <w:t xml:space="preserve">Each random term corresponds to a distinct process, and the fitted magnitudes are themselves results (Fig. 3d, Fig. 4; Supplementary Table S2).</w:t>
      </w:r>
    </w:p>
    <w:p>
      <w:pPr>
        <w:pStyle w:val="BodyText"/>
      </w:pPr>
      <w:r>
        <w:rPr>
          <w:i/>
          <w:iCs/>
        </w:rPr>
        <w:t xml:space="preserve">Species (SD 0.405).</w:t>
      </w:r>
      <w:r>
        <w:t xml:space="preserve"> </w:t>
      </w:r>
      <w:r>
        <w:t xml:space="preserve">Species differ in intrinsic detectability for reasons no covariate in the model captures: body size, song conspicuousness, habitat accessibility, population density and taxonomic attention. One standard deviation multiplies the hazard by 1.50, and the fitted species span a 3.7-fold range.</w:t>
      </w:r>
    </w:p>
    <w:p>
      <w:pPr>
        <w:pStyle w:val="BodyText"/>
      </w:pPr>
      <w:r>
        <w:rPr>
          <w:i/>
          <w:iCs/>
        </w:rPr>
        <w:t xml:space="preserve">Province (SD 0.326).</w:t>
      </w:r>
      <w:r>
        <w:t xml:space="preserve"> </w:t>
      </w:r>
      <w:r>
        <w:t xml:space="preserve">Provinces differ in their baseline setting for discovery — area, terrain complexity, habitat diversity, observer population and regional research tradition. One standard deviation multiplies the hazard by 1.39.</w:t>
      </w:r>
    </w:p>
    <w:p>
      <w:pPr>
        <w:pStyle w:val="BodyText"/>
      </w:pPr>
      <w:r>
        <w:rPr>
          <w:i/>
          <w:iCs/>
        </w:rPr>
        <w:t xml:space="preserve">Province by year (SD 0.804).</w:t>
      </w:r>
      <w:r>
        <w:t xml:space="preserve"> </w:t>
      </w:r>
      <w:r>
        <w:t xml:space="preserve">This is the single largest variance component in the model, and it is the reason the level was added. One standard deviation multiplies the hazard by 2.23 — more than either fixed effect — and the fitted levels span a thirteenfold range (Fig. 4c). Ecologically it represents the scale at which the observation process actually operates: a regional survey campaign, a provincial birding festival, a newly established protected area, or a new local reporting channel raises the documentation rate for one province in one year.</w:t>
      </w:r>
    </w:p>
    <w:p>
      <w:pPr>
        <w:pStyle w:val="BodyText"/>
      </w:pPr>
      <w:r>
        <w:rPr>
          <w:i/>
          <w:iCs/>
        </w:rPr>
        <w:t xml:space="preserve">Reporting completeness offset.</w:t>
      </w:r>
      <w:r>
        <w:t xml:space="preserve"> </w:t>
      </w:r>
      <w:r>
        <w:t xml:space="preserve">Not a free parameter but a known correction, so it consumes no degrees of freedom. Omitting it attenuates the effort coefficient from 1.372 to 1.245, because censoring is concentrated in the recent, high-effort years.</w:t>
      </w:r>
    </w:p>
    <w:bookmarkEnd w:id="15"/>
    <w:bookmarkStart w:id="16" w:name="Xf38245127daa17f58c79a23a62853ee4cbb15cc"/>
    <w:p>
      <w:pPr>
        <w:pStyle w:val="Heading3"/>
      </w:pPr>
      <w:r>
        <w:t xml:space="preserve">Migratory strategy shifts the baseline, not the drivers</w:t>
      </w:r>
    </w:p>
    <w:p>
      <w:pPr>
        <w:pStyle w:val="FirstParagraph"/>
      </w:pPr>
      <w:r>
        <w:t xml:space="preserve">Migratory strategy shifts the baseline hazard: adding it as a main effect improves fit (ΔAIC 6.2 relative to the model without it) and is the best model in the ladder. It does not, however, moderate either driver. Adding warming × strategy, effort × strategy, both, or the full three-way warming × effort × strategy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respectively). Fitting each group separately gives the same picture, with almost completely overlapping intervals. Group sample sizes, group-specific hazard ratios, the exclusion of species whose strategy is unrecorded, and a warming × effort interaction confined to long-distance migrants — which we report as a hypothesis for a larger compilation rather than as a result, because the formal test for heterogeneity among groups is not significant — are given in Supplementary Note S3 (Supplementary Fig. S3; Supplementary Table S3).</w:t>
      </w:r>
    </w:p>
    <w:bookmarkEnd w:id="16"/>
    <w:bookmarkStart w:id="17" w:name="which-species-and-which-provinces"/>
    <w:p>
      <w:pPr>
        <w:pStyle w:val="Heading3"/>
      </w:pPr>
      <w:r>
        <w:t xml:space="preserve">Which species, and which provinces</w:t>
      </w:r>
    </w:p>
    <w:p>
      <w:pPr>
        <w:pStyle w:val="FirstParagraph"/>
      </w:pPr>
      <w:r>
        <w:t xml:space="preserve">Two complementary questions operate at coarser levels: which species yield a new provincial record at all, and which provinces accumulate more of them. Both were addressed with the trait and count models detailed in Supplementary Note S4 (Supplementary Figs S4, S5; Supplementary Tables S4–S6); we report here the two results that bear on the hazard model.</w:t>
      </w:r>
    </w:p>
    <w:p>
      <w:pPr>
        <w:pStyle w:val="BodyText"/>
      </w:pPr>
      <w:r>
        <w:rPr>
          <w:i/>
          <w:iCs/>
        </w:rPr>
        <w:t xml:space="preserve">Species level.</w:t>
      </w:r>
      <w:r>
        <w:t xml:space="preserve"> </w:t>
      </w:r>
      <w:r>
        <w:t xml:space="preserve">Across the 1,298 modelled species and three treatments of phylogenetic non-independence, two effects hold. Partial migrants are about twice as 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(0.417% against 0.29–0.33%). Range size must be measured as an</w:t>
      </w:r>
      <w:r>
        <w:t xml:space="preserve"> </w:t>
      </w:r>
      <w:r>
        <w:rPr>
          <w:b/>
          <w:bCs/>
        </w:rPr>
        <w:t xml:space="preserve">area</w:t>
      </w:r>
      <w:r>
        <w:t xml:space="preserve">, not as a count of provinces occupied, because the trait database was published in 2022 and its provincial counts therefore already contain the records used as the response; the two independent area measures agree, giving 1.456 for global range area and 1.653 for Chinese range area (Supplementary Table S4).</w:t>
      </w:r>
    </w:p>
    <w:p>
      <w:pPr>
        <w:pStyle w:val="BodyText"/>
      </w:pPr>
      <w:r>
        <w:rPr>
          <w:i/>
          <w:iCs/>
        </w:rPr>
        <w:t xml:space="preserve">Province level.</w:t>
      </w:r>
      <w:r>
        <w:t xml:space="preserve"> </w:t>
      </w:r>
      <w:r>
        <w:t xml:space="preserve">Counts of new records per province are overdispersed relative to Poisson and are modelled as negative binomial. The informative specification treats recent survey effort as an offset, so that the response becomes the discovery rate per unit of effort: provinces already well covered in 2002–2008 then yield fewer records 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 Hierarchical partitioning attributes 51.2% of the explained deviance to species richness, 33.3% to area and 9% to the two effort terms combined, with the full model explaining 20.5% of deviance.</w:t>
      </w:r>
    </w:p>
    <w:p>
      <w:pPr>
        <w:pStyle w:val="BodyText"/>
      </w:pPr>
      <w:r>
        <w:t xml:space="preserve">Effort therefore appears at the provincial scale not as a count effect but as diminishing returns — the same signal the hazard model shows as an effort coefficient that falls through time. Two analyses at different levels converge: China’s observational capacity is now large enough that additional effort recovers progressively less of what remains undocumented.</w:t>
      </w:r>
    </w:p>
    <w:bookmarkEnd w:id="17"/>
    <w:bookmarkStart w:id="18" w:name="Xc6bca05a8d0c9105c2bfd59170cf82c9f277673"/>
    <w:p>
      <w:pPr>
        <w:pStyle w:val="Heading3"/>
      </w:pPr>
      <w:r>
        <w:t xml:space="preserve">New records are strongly biased toward the east and northeast</w:t>
      </w:r>
    </w:p>
    <w:p>
      <w:pPr>
        <w:pStyle w:val="FirstParagraph"/>
      </w:pPr>
      <w:r>
        <w:t xml:space="preserve">Were new records simply filling survey gaps at random, they would fall on all sides of a species’ known range with equal frequency. They do not. Taking the bearing from the centroid of each species’ BirdLife range to the record itself and binning into eight sectors, direction is far from uniform (χ² = 580.1, df = 7,</w:t>
      </w:r>
      <w:r>
        <w:t xml:space="preserve"> </w:t>
      </w:r>
      <w:r>
        <w:rPr>
          <w:i/>
          <w:iCs/>
        </w:rPr>
        <w:t xml:space="preserve">P</w:t>
      </w:r>
      <w:r>
        <w:t xml:space="preserve"> </w:t>
      </w:r>
      <w:r>
        <w:t xml:space="preserve">= 4.6 × 10⁻¹²¹; Fig. 5). Two sectors are over-represented after Holm correction: east holds 237 of 642 records (36.9%, against 80.2 expected) and northeast 179 (27.9%). South and west are nearly empty, with 20 and 19.</w:t>
      </w:r>
    </w:p>
    <w:p>
      <w:pPr>
        <w:pStyle w:val="BodyText"/>
      </w:pPr>
      <w:r>
        <w:t xml:space="preserve">The pattern is not carried by one taxon: five of the well-sampled orders reject uniformity on their own — Passeriformes (χ² = 376.6,</w:t>
      </w:r>
      <w:r>
        <w:t xml:space="preserve"> </w:t>
      </w:r>
      <w:r>
        <w:rPr>
          <w:i/>
          <w:iCs/>
        </w:rPr>
        <w:t xml:space="preserve">P</w:t>
      </w:r>
      <w:r>
        <w:t xml:space="preserve"> </w:t>
      </w:r>
      <w:r>
        <w:t xml:space="preserve">= 2.5 × 10⁻⁷⁷), Anseriformes (64.0), Accipitriformes (52.5), Charadriiformes (45.5) and Columbiformes (29.1) — and in every case the significant sectors are east, northeast or both.</w:t>
      </w:r>
    </w:p>
    <w:p>
      <w:pPr>
        <w:pStyle w:val="BodyText"/>
      </w:pPr>
      <w:r>
        <w:t xml:space="preserve">Two mechanisms are consistent with this and cannot be separated by these data. The eastern half of China holds the great majority of the observer population, so a species’ range edge is far more likely to be watched on its eastern than on its western side; this is the observational reading, and it is the same asymmetry the province-by-year variance component captures. The ecological reading is that eastern and north-eastern range margins are where suitable climate is expanding fastest for a warming-tracking assemblage. That birds show an eastward rather than a northward bias tilts the balance toward the observational reading: China’s observer gradient runs west-to-east, not south-to-north.</w:t>
      </w:r>
    </w:p>
    <w:bookmarkEnd w:id="18"/>
    <w:bookmarkStart w:id="19"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 4d). Two decades of intensifying observation have used up the readily detectable gaps, so an additional standard deviation of effort now yields far fewer first records than it did at the start of the period. That the climate term shows no such decline is the sharpest available evidence that the two coefficients are capturing different processes: a saturating observational process and a non-saturating climatic one.</w:t>
      </w:r>
    </w:p>
    <w:bookmarkEnd w:id="19"/>
    <w:bookmarkStart w:id="20" w:name="robustness"/>
    <w:p>
      <w:pPr>
        <w:pStyle w:val="Heading3"/>
      </w:pPr>
      <w:r>
        <w:t xml:space="preserve">Robustness</w:t>
      </w:r>
    </w:p>
    <w:p>
      <w:pPr>
        <w:pStyle w:val="FirstParagraph"/>
      </w:pPr>
      <w:r>
        <w:t xml:space="preserve">The conclusions do not depend on any freely chosen analytical decision (Fig. 6; Supplementary Note S5).</w:t>
      </w:r>
    </w:p>
    <w:p>
      <w:pPr>
        <w:pStyle w:val="BodyText"/>
      </w:pPr>
      <w:r>
        <w:rPr>
          <w:i/>
          <w:iCs/>
        </w:rPr>
        <w:t xml:space="preserve">Species-distribution-model threshold.</w:t>
      </w:r>
      <w:r>
        <w:t xml:space="preserve"> </w:t>
      </w:r>
      <w:r>
        <w:t xml:space="preserve">Raising the requirement from 50 to 200 suitable cells changes the risk set from 175,901 to 155,435 rows but leaves the coefficients essentially fixed (effort 1.404, 1.405, 1.411; warming 1.362, 1.376, 1.372; interaction 0.849, 0.851, 0.850).</w:t>
      </w:r>
    </w:p>
    <w:p>
      <w:pPr>
        <w:pStyle w:val="BodyText"/>
      </w:pPr>
      <w:r>
        <w:rPr>
          <w:i/>
          <w:iCs/>
        </w:rPr>
        <w:t xml:space="preserve">Accumulation window and climate baseline.</w:t>
      </w:r>
      <w:r>
        <w:t xml:space="preserve"> </w:t>
      </w:r>
      <w:r>
        <w:t xml:space="preserve">We tested windows of 5, 10, 15 and 20 years jointly against three series (WorldClim 1980–2000, CRU 1980–2000 and CRU 1970–2000; the 1970–2000 baseline cannot be computed from the WorldClim downscaling) (Supplementary Fig. S2). The warming coefficient rises with window length in every series, from about 1.16–1.21 at five years to 1.36–1.40 at twenty years.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(Supplementary Table S8) places the optimum at 18–20 years with AIC rising again by 23 years, so the optimum is interior rather than an artefact of the tested range. We retain 15 years as pre-specified; it lies within 2.2–5.6 AIC units of the optimum in every series. The choice of baseline period, of data source and of climate indicator moves the warming estimate only slightly (Supplementary Note S5).</w:t>
      </w:r>
    </w:p>
    <w:p>
      <w:pPr>
        <w:pStyle w:val="BodyText"/>
      </w:pPr>
      <w:r>
        <w:t xml:space="preserve">Across all twelve combinations the effort coefficient is flat at 1.34–1.41, and the interaction is negative throughout (0.82–1.00). If the climate and effort terms were competing for the same variance, changing the climate specification would move the effort estimate. It does not, which is direct evidence that the two are separately identified.</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The evidence that these cells are gaps in database coverage rather than years in which birdwatching ceased is given in Supplementary Note S5.</w:t>
      </w:r>
    </w:p>
    <w:bookmarkEnd w:id="20"/>
    <w:bookmarkStart w:id="21" w:name="model-adequacy"/>
    <w:p>
      <w:pPr>
        <w:pStyle w:val="Heading3"/>
      </w:pPr>
      <w:r>
        <w:t xml:space="preserve">Model adequacy</w:t>
      </w:r>
    </w:p>
    <w:p>
      <w:pPr>
        <w:pStyle w:val="FirstParagraph"/>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Province-mean residuals show no spatial autocorrelation (Moran’s</w:t>
      </w:r>
      <w:r>
        <w:t xml:space="preserve"> </w:t>
      </w:r>
      <w:r>
        <w:rPr>
          <w:i/>
          <w:iCs/>
        </w:rPr>
        <w:t xml:space="preserve">I</w:t>
      </w:r>
      <w:r>
        <w:t xml:space="preserve"> </w:t>
      </w:r>
      <w:r>
        <w:t xml:space="preserve">= −0.038; permutation</w:t>
      </w:r>
      <w:r>
        <w:t xml:space="preserve"> </w:t>
      </w:r>
      <w:r>
        <w:rPr>
          <w:i/>
          <w:iCs/>
        </w:rPr>
        <w:t xml:space="preserve">P</w:t>
      </w:r>
      <w:r>
        <w:t xml:space="preserve"> </w:t>
      </w:r>
      <w:r>
        <w:t xml:space="preserve">= 0.86). The outlier test is significant (95 outliers), as is expected of a binary outcome with an event rate of 0.37%.</w:t>
      </w:r>
    </w:p>
    <w:p>
      <w:pPr>
        <w:pStyle w:val="BodyText"/>
      </w:pPr>
      <w:r>
        <w:t xml:space="preserve">Three resampling analyses complete the assessment (Supplementary Note S6; Supplementary Fig. S11). A cluster bootstrap shows that provincial clustering inflates the standard errors by a factor of 1.26–1.59 relative to the model-based values, whereas species clustering does not (0.86–1.17); Table 2 reports both. A parametric bootstrap recovers the coefficients with absolute bias below 0.01 on the log-hazard scale and gives actual coverage of 91.3–95.3% for the nominal 95% interval. Leaving out each province in turn, and each of ten species deciles, moves the coefficients by at most 4.2%, with 9 of 164 combinations exceeding 3%: no single province or species group carries the result.</w:t>
      </w:r>
    </w:p>
    <w:bookmarkEnd w:id="21"/>
    <w:bookmarkStart w:id="22"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then asked how much of each scenario lies inside the range over which the model was fitted (Fig. 7b). 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 We regard the masked surfaces as the defensible result.</w:t>
      </w:r>
    </w:p>
    <w:p>
      <w:pPr>
        <w:pStyle w:val="BodyText"/>
      </w:pPr>
      <w:r>
        <w:t xml:space="preserve">A gradient-boosted comparison model trained on the same three predictors reinforces the point (Supplementary Note S7; Supplementary Figs S7, S8). Within the observed range the two model families track each other across province-years (Spearman ρ = 0.54); outside it, rank correlations across province-scenario cells range from −0.04 to 0.18, and the two agree on the direction of change in only 23.7% of cells, falling to 6.5% under SSP5-8.5 in 2080. The mechanistic model projects increases in 176 of 186 cells; the machine-learning model in 42. The cause is structural: tree ensembles return boundary leaf values once covariates leave the training support and therefore saturate, whereas the complementary log-log model extrapolates linearly on the log-hazard scale.</w:t>
      </w:r>
    </w:p>
    <w:bookmarkEnd w:id="22"/>
    <w:bookmarkStart w:id="23" w:name="X8f48b26bec44b4cd3d2ae3636e3e58a4d0c8607"/>
    <w:p>
      <w:pPr>
        <w:pStyle w:val="Heading3"/>
      </w:pPr>
      <w:r>
        <w:t xml:space="preserve">Reserve records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ordinarily read as evidence that the reserve network is receiving redistributing species. We tested that reading against the observation process, using GBIF/eBird checklists to define availability as</w:t>
      </w:r>
      <w:r>
        <w:t xml:space="preserve"> </w:t>
      </w:r>
      <w:r>
        <w:rPr>
          <w:i/>
          <w:iCs/>
        </w:rPr>
        <w:t xml:space="preserve">where birdwatchers actually went</w:t>
      </w:r>
      <w:r>
        <w:t xml:space="preserve"> </w:t>
      </w:r>
      <w:r>
        <w:t xml:space="preserve">and matching each event to controls from the same province and year, weighted by the checklists recorded there (matched design, two counter-tests, persistence of first records and the reserve–warming comparison in Supplementary Note S2; Supplementary Figs S12–S14).</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w:t>
      </w:r>
    </w:p>
    <w:p>
      <w:pPr>
        <w:pStyle w:val="BodyText"/>
      </w:pPr>
      <w:r>
        <w:t xml:space="preserve">The residual association is itself largely observational. It is carried by very few sites: the 172 inside-reserve events fall in only 68 reserves (6.6% of the 1,028), the top two account for 27.3%, and a block bootstrap resampling host reserves rather than records widens the interval to 0.89–3.19. It is also confined to the period of rapid growth in birdwatching: the odds ratio is 2.05 (1.61–2.59) for 2013–2023 but 0.97 (0.62–1.50) for 2002–2012, although the mapped reserve network gained no area after 2012.</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 All statements apply only to the 1,028 mapped reserves established before 2012; because reserve status has almost no temporal variation within the window, we make no causal claim.</w:t>
      </w:r>
    </w:p>
    <w:bookmarkEnd w:id="23"/>
    <w:bookmarkEnd w:id="24"/>
    <w:bookmarkStart w:id="25" w:name="discussion"/>
    <w:p>
      <w:pPr>
        <w:pStyle w:val="Heading2"/>
      </w:pPr>
      <w:r>
        <w:t xml:space="preserve">Discussion</w:t>
      </w:r>
    </w:p>
    <w:p>
      <w:pPr>
        <w:pStyle w:val="FirstParagraph"/>
      </w:pPr>
      <w:r>
        <w:rPr>
          <w:b/>
          <w:bCs/>
        </w:rPr>
        <w:t xml:space="preserve">The date attached to a record is a modelling decision, not a bookkeeping detail.</w:t>
      </w:r>
      <w:r>
        <w:t xml:space="preserve"> </w:t>
      </w:r>
      <w:r>
        <w:t xml:space="preserve">Compilations of new distribution records are assembled from the published literature, and publication year is the field primary sources report consistently. Our decomposition shows that using it inflates the apparent contribution of survey effort by 37% and manufactures an effect of annual climate variability that does not exist. The bias is directional: because publication year and observational capacity both trend upward, the misalignment always favours the covariate that trends with observer numbers. Compilation-based analyses reporting an effort or sampling-intensity effect without discovery dates should be read with this in mind. Where discovery dates are unavailable, our completeness framework is a partial remedy;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It is a claim that the climate signal is not an artefact of where people look, because it survives the inclusion of effort at four proxies, three missing-data rules, three candidate-pool definitions and a random structure that absorbs province-year observational shocks. The permutation nulls fix the correct reference point: part of the distance from unity is a structural baseline that any species-blind analysis would reproduce, and it is the species-specific increment that carries the ecological content.</w:t>
      </w:r>
    </w:p>
    <w:p>
      <w:pPr>
        <w:pStyle w:val="BodyText"/>
      </w:pPr>
      <w:r>
        <w:t xml:space="preserve">The negative interaction refines this: warming raises the hazard most where survey effort is low. Two non-exclusive readings fit the data. Ecologically, sparsely surveyed provinces in China are disproportionately western and montane, where climatic gradients are steep and small temperature changes translate into large habitat displacements. Observationally, densely surveyed provinces have already absorbed much of their Wallacean shortfall, so the pool of species available to be newly recorded is depleted regardless of climate. The declining marginal return of effort through time, which we detect as a violation of proportional hazards for that term alone, supports the second reading.</w:t>
      </w:r>
    </w:p>
    <w:p>
      <w:pPr>
        <w:pStyle w:val="BodyText"/>
      </w:pPr>
      <w:r>
        <w:rPr>
          <w:b/>
          <w:bCs/>
        </w:rPr>
        <w:t xml:space="preserve">Projection is limited by covariate support, not by scenario availability.</w:t>
      </w:r>
      <w:r>
        <w:t xml:space="preserve"> </w:t>
      </w:r>
      <w:r>
        <w:t xml:space="preserve">Our support diagnostic shows that under late-century scenarios fewer than one in fifty species-province cells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routinely report the fraction of projected cells inside the fitted support</w:t>
      </w:r>
      <w:r>
        <w:rPr>
          <w:vertAlign w:val="superscript"/>
        </w:rPr>
        <w:t xml:space="preserve">74,76,77</w:t>
      </w:r>
      <w:r>
        <w:t xml:space="preserve">. Where that fraction is small, the honest product is a near-term surface with an explicit support mask, not a century-scale map.</w:t>
      </w:r>
    </w:p>
    <w:p>
      <w:pPr>
        <w:pStyle w:val="BodyText"/>
      </w:pPr>
      <w:r>
        <w:rPr>
          <w:b/>
          <w:bCs/>
        </w:rPr>
        <w:t xml:space="preserve">Implications for monitoring and conservation planning.</w:t>
      </w:r>
      <w:r>
        <w:t xml:space="preserve"> </w:t>
      </w:r>
      <w:r>
        <w:t xml:space="preserve">A single province-year shock of one standard deviation multiplies the hazard by 2.2, more than either driver, so targeted survey campaigns have large and immediate effects on the biodiversity record and should be allocated deliberately rather than opportunistically. The negative interaction supplies the allocation rule: effort added to under-covered, climatically dynamic provinces yields more new documentation per unit effort than the same investment in well-covered provinces. Because the marginal return of effort has declined measurably within two decades, a plateau in new records should not be read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bookmarkEnd w:id="25"/>
    <w:bookmarkStart w:id="26" w:name="references"/>
    <w:p>
      <w:pPr>
        <w:pStyle w:val="Heading2"/>
      </w:pPr>
      <w:r>
        <w:t xml:space="preserve">References</w:t>
      </w:r>
    </w:p>
    <w:p>
      <w:pPr>
        <w:pStyle w:val="Compact"/>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Compact"/>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Compact"/>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Compact"/>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Compact"/>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Compact"/>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Compact"/>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Compact"/>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Compact"/>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Compact"/>
        <w:numPr>
          <w:ilvl w:val="0"/>
          <w:numId w:val="1001"/>
        </w:numPr>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Compact"/>
        <w:numPr>
          <w:ilvl w:val="0"/>
          <w:numId w:val="1001"/>
        </w:numPr>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Compact"/>
        <w:numPr>
          <w:ilvl w:val="0"/>
          <w:numId w:val="1001"/>
        </w:numPr>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Compact"/>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Compact"/>
        <w:numPr>
          <w:ilvl w:val="0"/>
          <w:numId w:val="1001"/>
        </w:numPr>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Compact"/>
        <w:numPr>
          <w:ilvl w:val="0"/>
          <w:numId w:val="1001"/>
        </w:numPr>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Compact"/>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Compact"/>
        <w:numPr>
          <w:ilvl w:val="0"/>
          <w:numId w:val="1001"/>
        </w:numPr>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Compact"/>
        <w:numPr>
          <w:ilvl w:val="0"/>
          <w:numId w:val="1001"/>
        </w:numPr>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Compact"/>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Compact"/>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Compact"/>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Compact"/>
        <w:numPr>
          <w:ilvl w:val="0"/>
          <w:numId w:val="1001"/>
        </w:numPr>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Compact"/>
        <w:numPr>
          <w:ilvl w:val="0"/>
          <w:numId w:val="1001"/>
        </w:numPr>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Compact"/>
        <w:numPr>
          <w:ilvl w:val="0"/>
          <w:numId w:val="1001"/>
        </w:numPr>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Compact"/>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Compact"/>
        <w:numPr>
          <w:ilvl w:val="0"/>
          <w:numId w:val="1001"/>
        </w:numPr>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Compact"/>
        <w:numPr>
          <w:ilvl w:val="0"/>
          <w:numId w:val="1001"/>
        </w:numPr>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Compact"/>
        <w:numPr>
          <w:ilvl w:val="0"/>
          <w:numId w:val="1001"/>
        </w:numPr>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Compact"/>
        <w:numPr>
          <w:ilvl w:val="0"/>
          <w:numId w:val="1001"/>
        </w:numPr>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Compact"/>
        <w:numPr>
          <w:ilvl w:val="0"/>
          <w:numId w:val="1001"/>
        </w:numPr>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Compact"/>
        <w:numPr>
          <w:ilvl w:val="0"/>
          <w:numId w:val="1001"/>
        </w:numPr>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Compact"/>
        <w:numPr>
          <w:ilvl w:val="0"/>
          <w:numId w:val="1001"/>
        </w:numPr>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Compact"/>
        <w:numPr>
          <w:ilvl w:val="0"/>
          <w:numId w:val="1001"/>
        </w:numPr>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Compact"/>
        <w:numPr>
          <w:ilvl w:val="0"/>
          <w:numId w:val="1001"/>
        </w:numPr>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Compact"/>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Compact"/>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Compact"/>
        <w:numPr>
          <w:ilvl w:val="0"/>
          <w:numId w:val="1001"/>
        </w:numPr>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Compact"/>
        <w:numPr>
          <w:ilvl w:val="0"/>
          <w:numId w:val="1001"/>
        </w:numPr>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Compact"/>
        <w:numPr>
          <w:ilvl w:val="0"/>
          <w:numId w:val="1001"/>
        </w:numPr>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Compact"/>
        <w:numPr>
          <w:ilvl w:val="0"/>
          <w:numId w:val="1001"/>
        </w:numPr>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Compact"/>
        <w:numPr>
          <w:ilvl w:val="0"/>
          <w:numId w:val="1001"/>
        </w:numPr>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Compact"/>
        <w:numPr>
          <w:ilvl w:val="0"/>
          <w:numId w:val="1001"/>
        </w:numPr>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Compact"/>
        <w:numPr>
          <w:ilvl w:val="0"/>
          <w:numId w:val="1001"/>
        </w:numPr>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Compact"/>
        <w:numPr>
          <w:ilvl w:val="0"/>
          <w:numId w:val="1001"/>
        </w:numPr>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Compact"/>
        <w:numPr>
          <w:ilvl w:val="0"/>
          <w:numId w:val="1001"/>
        </w:numPr>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Compact"/>
        <w:numPr>
          <w:ilvl w:val="0"/>
          <w:numId w:val="1001"/>
        </w:numPr>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Compact"/>
        <w:numPr>
          <w:ilvl w:val="0"/>
          <w:numId w:val="1001"/>
        </w:numPr>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Compact"/>
        <w:numPr>
          <w:ilvl w:val="0"/>
          <w:numId w:val="1001"/>
        </w:numPr>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Compact"/>
        <w:numPr>
          <w:ilvl w:val="0"/>
          <w:numId w:val="1001"/>
        </w:numPr>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Compact"/>
        <w:numPr>
          <w:ilvl w:val="0"/>
          <w:numId w:val="1001"/>
        </w:numPr>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Compact"/>
        <w:numPr>
          <w:ilvl w:val="0"/>
          <w:numId w:val="1001"/>
        </w:numPr>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Compact"/>
        <w:numPr>
          <w:ilvl w:val="0"/>
          <w:numId w:val="1001"/>
        </w:numPr>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Compact"/>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Compact"/>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Compact"/>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Compact"/>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Compact"/>
        <w:numPr>
          <w:ilvl w:val="0"/>
          <w:numId w:val="1001"/>
        </w:numPr>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Compact"/>
        <w:numPr>
          <w:ilvl w:val="0"/>
          <w:numId w:val="1001"/>
        </w:numPr>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Compact"/>
        <w:numPr>
          <w:ilvl w:val="0"/>
          <w:numId w:val="1001"/>
        </w:numPr>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Compact"/>
        <w:numPr>
          <w:ilvl w:val="0"/>
          <w:numId w:val="1001"/>
        </w:numPr>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Compact"/>
        <w:numPr>
          <w:ilvl w:val="0"/>
          <w:numId w:val="1001"/>
        </w:numPr>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Compact"/>
        <w:numPr>
          <w:ilvl w:val="0"/>
          <w:numId w:val="1001"/>
        </w:numPr>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Compact"/>
        <w:numPr>
          <w:ilvl w:val="0"/>
          <w:numId w:val="1001"/>
        </w:numPr>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Compact"/>
        <w:numPr>
          <w:ilvl w:val="0"/>
          <w:numId w:val="1001"/>
        </w:numPr>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Compact"/>
        <w:numPr>
          <w:ilvl w:val="0"/>
          <w:numId w:val="1001"/>
        </w:numPr>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Compact"/>
        <w:numPr>
          <w:ilvl w:val="0"/>
          <w:numId w:val="1001"/>
        </w:numPr>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Compact"/>
        <w:numPr>
          <w:ilvl w:val="0"/>
          <w:numId w:val="1001"/>
        </w:numPr>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Compact"/>
        <w:numPr>
          <w:ilvl w:val="0"/>
          <w:numId w:val="1001"/>
        </w:numPr>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Compact"/>
        <w:numPr>
          <w:ilvl w:val="0"/>
          <w:numId w:val="1001"/>
        </w:numPr>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Compact"/>
        <w:numPr>
          <w:ilvl w:val="0"/>
          <w:numId w:val="1001"/>
        </w:numPr>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Compact"/>
        <w:numPr>
          <w:ilvl w:val="0"/>
          <w:numId w:val="1001"/>
        </w:numPr>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Compact"/>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Compact"/>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Compact"/>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Compact"/>
        <w:numPr>
          <w:ilvl w:val="0"/>
          <w:numId w:val="1001"/>
        </w:numPr>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p>
      <w:pPr>
        <w:pStyle w:val="Compact"/>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Compact"/>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Compact"/>
        <w:numPr>
          <w:ilvl w:val="0"/>
          <w:numId w:val="1001"/>
        </w:numPr>
      </w:pPr>
      <w:r>
        <w:t xml:space="preserve">Hartig, F. DHARMa: residual diagnostics for hierarchical (multi-level/mixed) regression models. R package version 0.4 (2024). https://CRAN.R-project.org/package=DHARMa</w:t>
      </w:r>
    </w:p>
    <w:p>
      <w:pPr>
        <w:pStyle w:val="Compact"/>
        <w:numPr>
          <w:ilvl w:val="0"/>
          <w:numId w:val="1001"/>
        </w:numPr>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Compact"/>
        <w:numPr>
          <w:ilvl w:val="0"/>
          <w:numId w:val="1001"/>
        </w:numPr>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Compact"/>
        <w:numPr>
          <w:ilvl w:val="0"/>
          <w:numId w:val="1001"/>
        </w:numPr>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Compact"/>
        <w:numPr>
          <w:ilvl w:val="0"/>
          <w:numId w:val="1001"/>
        </w:numPr>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FirstParagraph"/>
      </w:pPr>
      <w:r>
        <w:rPr>
          <w:i/>
          <w:iCs/>
        </w:rPr>
        <w:t xml:space="preserve">In-text superscripts [A1]–[A6] refer to references 72, 73, 74, 76, 77 and 78 respectively. All digital object identifiers were verified against Crossref on 26 July 2026. Reference 25 is a companion data descriptor currently under review and will be updated on acceptance.</w:t>
      </w:r>
    </w:p>
    <w:p>
      <w:r>
        <w:pict>
          <v:rect style="width:0;height:1.5pt" o:hralign="center" o:hrstd="t" o:hr="t"/>
        </w:pict>
      </w:r>
    </w:p>
    <w:bookmarkEnd w:id="26"/>
    <w:bookmarkStart w:id="37" w:name="methods"/>
    <w:p>
      <w:pPr>
        <w:pStyle w:val="Heading2"/>
      </w:pPr>
      <w:r>
        <w:t xml:space="preserve">Methods</w:t>
      </w:r>
    </w:p>
    <w:bookmarkStart w:id="27"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w:t>
      </w:r>
      <w:r>
        <w:rPr>
          <w:vertAlign w:val="superscript"/>
        </w:rPr>
        <w:t xml:space="preserve">25</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7"/>
    <w:bookmarkStart w:id="28"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8"/>
    <w:bookmarkStart w:id="29"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29"/>
    <w:bookmarkStart w:id="30"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53,54</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30"/>
    <w:bookmarkStart w:id="31"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31"/>
    <w:bookmarkStart w:id="32"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72,73,55</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55</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56</w:t>
      </w:r>
      <w:r>
        <w:t xml:space="preserve">, and marginal and conditional AUC); variance-component identifiability; and the ecological interpretability of each term. The structure reported above was frozen before the robustness analyses were run.</w:t>
      </w:r>
    </w:p>
    <w:bookmarkEnd w:id="32"/>
    <w:bookmarkStart w:id="33"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3"/>
    <w:bookmarkStart w:id="34"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78</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4"/>
    <w:bookmarkStart w:id="35"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 A gradient-boosted comparison model (XGBoost, 400 rounds, learning rate 0.05, depth 4)</w:t>
      </w:r>
      <w:r>
        <w:rPr>
          <w:vertAlign w:val="superscript"/>
        </w:rPr>
        <w:t xml:space="preserve">36</w:t>
      </w:r>
      <w:r>
        <w:t xml:space="preserve"> </w:t>
      </w:r>
      <w:r>
        <w:t xml:space="preserve">was trained on the same three predictors, and exact TreeSHAP attributions were computed for interpretation</w:t>
      </w:r>
      <w:r>
        <w:rPr>
          <w:vertAlign w:val="superscript"/>
        </w:rPr>
        <w:t xml:space="preserve">35</w:t>
      </w:r>
      <w:r>
        <w:t xml:space="preserve">.</w:t>
      </w:r>
    </w:p>
    <w:bookmarkEnd w:id="35"/>
    <w:bookmarkStart w:id="36"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36"/>
    <w:bookmarkEnd w:id="37"/>
    <w:bookmarkEnd w:id="38"/>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2026-08-13T14:11:31Z</dcterms:created>
  <dcterms:modified xsi:type="dcterms:W3CDTF">2026-08-13T14:11:31Z</dcterms:modified>
</cp:coreProperties>
</file>

<file path=docProps/custom.xml><?xml version="1.0" encoding="utf-8"?>
<Properties xmlns="http://schemas.openxmlformats.org/officeDocument/2006/custom-properties" xmlns:vt="http://schemas.openxmlformats.org/officeDocument/2006/docPropsVTypes"/>
</file>