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375d79c841bc0027eb180376c96c2db5ee86b3d"/>
    <w:p>
      <w:pPr>
        <w:pStyle w:val="Heading1"/>
      </w:pPr>
      <w:r>
        <w:t xml:space="preserve">Warming and survey effort contribute comparably to the generation of new bird distribution records once records are dated to discovery</w:t>
      </w:r>
    </w:p>
    <w:p>
      <w:pPr>
        <w:pStyle w:val="FirstParagraph"/>
      </w:pPr>
      <w:r>
        <w:t xml:space="preserve">Chenchen Ding</w:t>
      </w:r>
      <w:r>
        <w:rPr>
          <w:vertAlign w:val="superscript"/>
        </w:rPr>
        <w:t xml:space="preserve">1</w:t>
      </w:r>
      <w:r>
        <w:t xml:space="preserve">, et al.</w:t>
      </w:r>
    </w:p>
    <w:p>
      <w:pPr>
        <w:pStyle w:val="BodyText"/>
      </w:pPr>
      <w:r>
        <w:rPr>
          <w:vertAlign w:val="superscript"/>
        </w:rPr>
        <w:t xml:space="preserve">1</w:t>
      </w:r>
      <w:r>
        <w:t xml:space="preserve"> </w:t>
      </w:r>
      <w:r>
        <w:t xml:space="preserve">Institute of Ecology, College of Urban and Environmental Sciences, Peking University, Beijing 100871, China</w:t>
      </w:r>
    </w:p>
    <w:p>
      <w:pPr>
        <w:pStyle w:val="BodyText"/>
      </w:pPr>
      <w:r>
        <w:t xml:space="preserve">Correspondence: dingchenchen@pku.edu.cn</w:t>
      </w:r>
    </w:p>
    <w:bookmarkStart w:id="9" w:name="abstract"/>
    <w:p>
      <w:pPr>
        <w:pStyle w:val="Heading2"/>
      </w:pPr>
      <w:r>
        <w:t xml:space="preserve">Abstract</w:t>
      </w:r>
    </w:p>
    <w:p>
      <w:pPr>
        <w:pStyle w:val="FirstParagraph"/>
      </w:pPr>
      <w:r>
        <w:t xml:space="preserve">Documented distributions reflect where organisms occur and where people look. Here we model the annual hazard of a first provincial record on a complete species-by-province-year risk set for 1,029 Chinese bird records (2002–2024), dated to discovery rather than publication. Publication-year dating inflates the effort hazard ratio from 1.305 to 1.788 and manufactures a spurious climate-variability effect. Corrected, accumulated warming relative to a species’ historical range (1.362 per standard deviation) and survey effort (1.404) contribute comparably. Design-preserving permutation nulls centre warming on 1.157, not unity, an increment near 1.18, and collapse effort to 0.980 when its temporal alignment is broken. The largest variance component is a province-by-year random intercept (SD 0.804); effort’s marginal return declines from 2.18 to 1.07 while the climate effect does not; and new records fall disproportionately east and northeast of species’ ranges. Documented range gains therefore reflect climate and observation in roughly equal measure.</w:t>
      </w:r>
    </w:p>
    <w:bookmarkEnd w:id="9"/>
    <w:bookmarkStart w:id="11" w:name="introduction"/>
    <w:p>
      <w:pPr>
        <w:pStyle w:val="Heading2"/>
      </w:pPr>
      <w:r>
        <w:t xml:space="preserve">Introduction</w:t>
      </w:r>
    </w:p>
    <w:p>
      <w:pPr>
        <w:pStyle w:val="FirstParagraph"/>
      </w:pPr>
      <w:r>
        <w:t xml:space="preserve">Documented species distributions are a joint product of where organisms occur and where people look</w:t>
      </w:r>
      <w:r>
        <w:rPr>
          <w:vertAlign w:val="superscript"/>
        </w:rPr>
        <w:t xml:space="preserve">1–4</w:t>
      </w:r>
      <w:r>
        <w:t xml:space="preserve">, and the inferential consequences remain incompletely handled in the literature on climate-driven range shifts</w:t>
      </w:r>
      <w:r>
        <w:rPr>
          <w:vertAlign w:val="superscript"/>
        </w:rPr>
        <w:t xml:space="preserve">5–8</w:t>
      </w:r>
      <w:r>
        <w:t xml:space="preserve">. A first report of a species from an administrative unit is often read as evidence of range expansion, but the same record is equally consistent with a long-standing population that has only now been detected, or with a stable population in a region whose observer base has recently grown</w:t>
      </w:r>
      <w:r>
        <w:rPr>
          <w:vertAlign w:val="superscript"/>
        </w:rPr>
        <w:t xml:space="preserve">16,19–21</w:t>
      </w:r>
      <w:r>
        <w:t xml:space="preserve">. Which reading is correct determines whether a body of records is evidence of biodiversity redistribution or of the filling of the Wallacean shortfall</w:t>
      </w:r>
      <w:r>
        <w:rPr>
          <w:vertAlign w:val="superscript"/>
        </w:rPr>
        <w:t xml:space="preserve">1,2</w:t>
      </w:r>
      <w:r>
        <w:t xml:space="preserve">.</w:t>
      </w:r>
    </w:p>
    <w:p>
      <w:pPr>
        <w:pStyle w:val="BodyText"/>
      </w:pPr>
      <w:r>
        <w:t xml:space="preserve">China offers unusual leverage on this problem. Over the past two decades the country has warmed rapidly while its birdwatching community grew from a few thousand to hundreds of thousands of participants, and a national compilation of provincial new bird records now carries dates of discovery as well as of publication</w:t>
      </w:r>
      <w:r>
        <w:rPr>
          <w:vertAlign w:val="superscript"/>
        </w:rPr>
        <w:t xml:space="preserve">9,25,37</w:t>
      </w:r>
      <w:r>
        <w:t xml:space="preserve">. That both signals expanded together is what makes the attribution hard, and what makes a formal risk-set analysis necessary.</w:t>
      </w:r>
    </w:p>
    <w:p>
      <w:pPr>
        <w:pStyle w:val="BodyText"/>
      </w:pPr>
      <w:r>
        <w:t xml:space="preserve">Three gaps motivate this study. First, the temporal alignment of events has not been examined. Records carry two dates — when the bird was seen, and when the paper appeared — and almost all analyses use the latter, the field primary sources reliably report. Publication lag is not a small random offset but a right-skewed delay that grew alongside the observational infrastructure, so dating an event to publication places it in a year in which the effort database was systematically larger. Second, the observation process operates at a scale most models do not represent. Survey campaigns, birding festivals, new protected areas and reporting channels act on one province in one year; species and region random intercepts, the conventional choice</w:t>
      </w:r>
      <w:r>
        <w:rPr>
          <w:vertAlign w:val="superscript"/>
        </w:rPr>
        <w:t xml:space="preserve">55</w:t>
      </w:r>
      <w:r>
        <w:t xml:space="preserve">, cannot absorb this, and it leaks into whichever fixed effect trends with observational capacity. Third, projections of future record generation have been made without checking whether the scenarios lie inside the fitted data.</w:t>
      </w:r>
    </w:p>
    <w:p>
      <w:pPr>
        <w:pStyle w:val="BodyText"/>
      </w:pPr>
      <w:r>
        <w:t xml:space="preserve">Here we address all three. We construct a complete risk set — every species × province × year cell in which a new record could have occurred, with absorbing exit after the first record — and model the annual hazard with a complementary log-log link, the discrete-time analogue of a proportional-hazards model</w:t>
      </w:r>
      <w:r>
        <w:rPr>
          <w:rStyle w:val="FootnoteReference"/>
        </w:rPr>
        <w:footnoteReference w:id="10"/>
      </w:r>
      <w:r>
        <w:t xml:space="preserve">^. We re-date every event to its year of discovery, correct the resulting right-censoring with a reporting-completeness offset, treat structurally implausible zeros in the effort database as coverage gaps, and add a province-by-year random intercept. We then ask how large the dating bias is, what warming and effort each contribute once it is corrected, and how far the fitted relationship can be projected.</w:t>
      </w:r>
    </w:p>
    <w:bookmarkEnd w:id="11"/>
    <w:bookmarkStart w:id="24" w:name="results"/>
    <w:p>
      <w:pPr>
        <w:pStyle w:val="Heading2"/>
      </w:pPr>
      <w:r>
        <w:t xml:space="preserve">Results</w:t>
      </w:r>
    </w:p>
    <w:bookmarkStart w:id="12" w:name="the-risk-set-and-the-dating-problem"/>
    <w:p>
      <w:pPr>
        <w:pStyle w:val="Heading3"/>
      </w:pPr>
      <w:r>
        <w:t xml:space="preserve">The risk set and the dating problem</w:t>
      </w:r>
    </w:p>
    <w:p>
      <w:pPr>
        <w:pStyle w:val="FirstParagraph"/>
      </w:pPr>
      <w:r>
        <w:t xml:space="preserve">The released compilation contains 1,029 provincial-level new bird records, with a parseable discovery date for 1,028 (99.9%). Of these, 684 matched a species × province cell in the candidate pool defined by species-distribution models plus forced inclusion of every observed event, and 657 fall within the 2002–2024 analysis window. After requiring non-missing effort and climate components, the modelling data contain 175,901 rows, 649 events, 392 species and 31 provincial units (Supplementary Note S1; Supplementary Table S9).</w:t>
      </w:r>
    </w:p>
    <w:p>
      <w:pPr>
        <w:pStyle w:val="BodyText"/>
      </w:pPr>
      <w:r>
        <w:t xml:space="preserve">Publication lags discovery by a median of one year and a mean of 2.09 years; 81.7% of records lag by at least one year and 26.8% by three or more (Fig. 2a). Re-dating changes the assigned year of 526 of 633 comparable events (83.1%), with a median shift of −1 year and a mean of −1.83 years. The two conventions produce qualitatively different time series (Fig. 2b): the publication-year series rises monotonically to 67 events in 2024, whereas the discovery-year series peaks at 59 in 2019 and falls to 14 in 2024. Neither is a clean description of reality: the publication-year rise is an artefact of aggregating delayed reports, and the discovery-year fall is right-censoring. Because the observed hazard under incomplete reporting is approximately the product of the true hazard and the reporting completeness</w:t>
      </w:r>
      <w:r>
        <w:t xml:space="preserve"> </w:t>
      </w:r>
      <w:r>
        <w:rPr>
          <w:i/>
          <w:iCs/>
        </w:rPr>
        <w:t xml:space="preserve">c</w:t>
      </w:r>
      <w:r>
        <w:t xml:space="preserve">(</w:t>
      </w:r>
      <w:r>
        <w:rPr>
          <w:i/>
          <w:iCs/>
        </w:rPr>
        <w:t xml:space="preserve">t</w:t>
      </w:r>
      <w:r>
        <w:t xml:space="preserve">), and the complementary log-log link is logarithmic in the hazard,</w:t>
      </w:r>
      <w:r>
        <w:t xml:space="preserve"> </w:t>
      </w:r>
      <w:r>
        <w:rPr>
          <w:i/>
          <w:iCs/>
        </w:rPr>
        <w:t xml:space="preserve">c</w:t>
      </w:r>
      <w:r>
        <w:t xml:space="preserve">(</w:t>
      </w:r>
      <w:r>
        <w:rPr>
          <w:i/>
          <w:iCs/>
        </w:rPr>
        <w:t xml:space="preserve">t</w:t>
      </w:r>
      <w:r>
        <w:t xml:space="preserve">) enters the linear predictor exactly as an offset log</w:t>
      </w:r>
      <w:r>
        <w:t xml:space="preserve"> </w:t>
      </w:r>
      <w:r>
        <w:rPr>
          <w:i/>
          <w:iCs/>
        </w:rPr>
        <w:t xml:space="preserve">c</w:t>
      </w:r>
      <w:r>
        <w:t xml:space="preserve">(</w:t>
      </w:r>
      <w:r>
        <w:rPr>
          <w:i/>
          <w:iCs/>
        </w:rPr>
        <w:t xml:space="preserve">t</w:t>
      </w:r>
      <w:r>
        <w:t xml:space="preserve">), which we include throughout.</w:t>
      </w:r>
    </w:p>
    <w:bookmarkEnd w:id="12"/>
    <w:bookmarkStart w:id="13" w:name="Xc77949901b9107389467c4ba24830ea78b75cee"/>
    <w:p>
      <w:pPr>
        <w:pStyle w:val="Heading3"/>
      </w:pPr>
      <w:r>
        <w:t xml:space="preserve">Publication-year dating inflates the apparent role of survey effort</w:t>
      </w:r>
    </w:p>
    <w:p>
      <w:pPr>
        <w:pStyle w:val="FirstParagraph"/>
      </w:pPr>
      <w:r>
        <w:t xml:space="preserve">We decomposed the difference between the previously published specification and the corrected one into five steps, changing exactly one thing at each (Fig. 2c; Supplementary Table S1). Re-dating alone moves the survey-effort hazard ratio from 1.788 to 1.305, a reduction of 37% in the excess hazard, and moves the annual-variability hazard ratio from 0.850 (</w:t>
      </w:r>
      <w:r>
        <w:rPr>
          <w:i/>
          <w:iCs/>
        </w:rPr>
        <w:t xml:space="preserve">P</w:t>
      </w:r>
      <w:r>
        <w:t xml:space="preserve"> </w:t>
      </w:r>
      <w:r>
        <w:t xml:space="preserve">= 1.8 × 10⁻⁴) to 0.971 (</w:t>
      </w:r>
      <w:r>
        <w:rPr>
          <w:i/>
          <w:iCs/>
        </w:rPr>
        <w:t xml:space="preserve">P</w:t>
      </w:r>
      <w:r>
        <w:t xml:space="preserve"> </w:t>
      </w:r>
      <w:r>
        <w:t xml:space="preserve">= 0.48). The accumulated-warming coefficient is essentially untouched (1.394 → 1.437). The four remaining corrections — coverage-gap effort, area-weighted climate, the completeness offset and the province-by-year intercept — are smaller, although the completeness offset restores +0.159 by recovering signal that right-censoring had attenuated.</w:t>
      </w:r>
    </w:p>
    <w:p>
      <w:pPr>
        <w:pStyle w:val="BodyText"/>
      </w:pPr>
      <w:r>
        <w:t xml:space="preserve">The mechanism is transparent. Publication year and the size of the observational database both increase through time, so assigning an event to its publication year places it in a cell whose recorded effort is systematically higher than the effort that actually generated the observation. This inflates the effort coefficient. It also decorrelates the event from the weather of the year in which the bird was actually seen, which is why a spurious negative coefficient on annual climate variability appears under publication-year dating and disappears under discovery-year dating. Accumulated warming, being a fifteen-year trailing mean, is robust to a shift of one or two years — which is exactly why it survives the correction unchanged.</w:t>
      </w:r>
    </w:p>
    <w:bookmarkEnd w:id="13"/>
    <w:bookmarkStart w:id="14" w:name="warming-and-effort-contribute-comparably"/>
    <w:p>
      <w:pPr>
        <w:pStyle w:val="Heading3"/>
      </w:pPr>
      <w:r>
        <w:t xml:space="preserve">Warming and effort contribute comparably</w:t>
      </w:r>
    </w:p>
    <w:p>
      <w:pPr>
        <w:pStyle w:val="FirstParagraph"/>
      </w:pPr>
      <w:r>
        <w:t xml:space="preserve">In the frozen main model, both drivers raise the hazard and the effect sizes are similar (Fig. 1a; Table 1). One standard deviation of accumulated warming relative to a species’ historical range multiplies the annual hazard by 1.362 (95% CI 1.216–1.524;</w:t>
      </w:r>
      <w:r>
        <w:t xml:space="preserve"> </w:t>
      </w:r>
      <w:r>
        <w:rPr>
          <w:i/>
          <w:iCs/>
        </w:rPr>
        <w:t xml:space="preserve">P</w:t>
      </w:r>
      <w:r>
        <w:t xml:space="preserve"> </w:t>
      </w:r>
      <w:r>
        <w:t xml:space="preserve">= 8.3 × 10⁻⁸); one standard deviation of survey effort multiplies it by 1.404 (1.245–1.583;</w:t>
      </w:r>
      <w:r>
        <w:t xml:space="preserve"> </w:t>
      </w:r>
      <w:r>
        <w:rPr>
          <w:i/>
          <w:iCs/>
        </w:rPr>
        <w:t xml:space="preserve">P</w:t>
      </w:r>
      <w:r>
        <w:t xml:space="preserve"> </w:t>
      </w:r>
      <w:r>
        <w:t xml:space="preserve">= 2.9 × 10⁻⁸). Annual climate variability has no effect (0.995, 0.909–1.090;</w:t>
      </w:r>
      <w:r>
        <w:t xml:space="preserve"> </w:t>
      </w:r>
      <w:r>
        <w:rPr>
          <w:i/>
          <w:iCs/>
        </w:rPr>
        <w:t xml:space="preserve">P</w:t>
      </w:r>
      <w:r>
        <w:t xml:space="preserve"> </w:t>
      </w:r>
      <w:r>
        <w:t xml:space="preserve">= 0.92). The two main effects interact negatively (0.849, 0.761–0.948;</w:t>
      </w:r>
      <w:r>
        <w:t xml:space="preserve"> </w:t>
      </w:r>
      <w:r>
        <w:rPr>
          <w:i/>
          <w:iCs/>
        </w:rPr>
        <w:t xml:space="preserve">P</w:t>
      </w:r>
      <w:r>
        <w:t xml:space="preserve"> </w:t>
      </w:r>
      <w:r>
        <w:t xml:space="preserve">= 3.7 × 10⁻³): the marginal effect of warming is steepest where effort is low and flattens where coverage is already dense (Fig. 1b).</w:t>
      </w:r>
    </w:p>
    <w:p>
      <w:pPr>
        <w:pStyle w:val="BodyText"/>
      </w:pPr>
      <w:r>
        <w:t xml:space="preserve">Two qualifications apply to these effect sizes. First, the reference point for the warming coefficient is not unity. Permuting accumulated warming among species within a province-year, or permuting the event indicator among the species at risk in a province-year, still returns a hazard ratio of 1.157–1.167, because both permutations preserve the covariance between provincial-annual climate and provincial-annual event counts. The observed 1.362 lies outside that null distribution (</w:t>
      </w:r>
      <w:r>
        <w:rPr>
          <w:i/>
          <w:iCs/>
        </w:rPr>
        <w:t xml:space="preserve">P</w:t>
      </w:r>
      <w:r>
        <w:t xml:space="preserve"> </w:t>
      </w:r>
      <w:r>
        <w:t xml:space="preserve">= 0.005 in both cases), but the increment attributable to the species-specific referencing is 1.362/1.157 ≈ 1.18 rather than 1.36; the remainder is a structural baseline shared with the null. The effort coefficient behaves differently: permuting effort across years within a province collapses it to 0.980, with the null 95% interval covering unity, so it derives from the temporal alignment of effort and events rather than from any cross-sectional contrast between well- and poorly surveyed provinces. Second, the Wald intervals are slightly narrow with respect to provincial clustering. A cluster bootstrap resampling provinces widens them to 1.20–1.72 for warming and 1.21–1.76 for effort; both lower bounds still exceed unity, and the interaction remains bounded away from it (0.74–0.99). Resampling species instead leaves the intervals essentially unchanged.</w:t>
      </w:r>
    </w:p>
    <w:p>
      <w:pPr>
        <w:pStyle w:val="BodyText"/>
      </w:pPr>
      <w:r>
        <w:t xml:space="preserve">In natural units, one standard deviation of accumulated warming is 0.179 °C: a province that has warmed by that much more than a species’ own historical Chinese range carries a 36% higher annual hazard for that species. One standard deviation of survey effort corresponds to a 7.75-fold increase in annual provincial visits. The climate variable is genuinely species-specific rather than a relabelled regional index, and four independent importance criteria agree that warming and effort are of comparable weight (Supplementary Note S2; Supplementary Fig. S4).</w:t>
      </w:r>
    </w:p>
    <w:p>
      <w:pPr>
        <w:pStyle w:val="BodyText"/>
      </w:pPr>
      <w:r>
        <w:t xml:space="preserve">The discrimination ladder makes the point most directly (Fig. 1d). With the random structure held at the main model, fixed-effect-only AUC rises from 0.411 for the null model to 0.559 with effort alone, 0.580 with accumulated warming alone, and 0.610 with both. Climate alone discriminates better than effort alone; neither alone approaches the pair. This is a different conclusion from the one reached under publication-year dating, where effort dominated.</w:t>
      </w:r>
    </w:p>
    <w:bookmarkEnd w:id="14"/>
    <w:bookmarkStart w:id="15" w:name="X4964e81b6b6a7a31e5e5620c741e270c4b55e0f"/>
    <w:p>
      <w:pPr>
        <w:pStyle w:val="Heading3"/>
      </w:pPr>
      <w:r>
        <w:t xml:space="preserve">Separating the observation process requires a province-by-year level</w:t>
      </w:r>
    </w:p>
    <w:p>
      <w:pPr>
        <w:pStyle w:val="FirstParagraph"/>
      </w:pPr>
      <w:r>
        <w:t xml:space="preserve">We evaluated six random-effect structures against four criteria rather than AIC alone (Supplementary Table S2; Supplementary Fig. S1). Adding a province-by-year intercept to the conventional species + province structure improves AIC by 93.4 units, raises conditional</w:t>
      </w:r>
      <w:r>
        <w:t xml:space="preserve"> </w:t>
      </w:r>
      <w:r>
        <w:rPr>
          <w:i/>
          <w:iCs/>
        </w:rPr>
        <w:t xml:space="preserve">R</w:t>
      </w:r>
      <w:r>
        <w:t xml:space="preserve">² from 0.274 to 0.411, raises conditional AUC from 0.721 to 0.854, and raises the intraclass correlation from 0.172 to 0.358. Marginal AUC is flat across all six structures (0.607–0.613), so the random structure absorbs observational heterogeneity without redistributing the fixed-effect signal. Two random-slope alternatives fit marginally better on AIC but reduce conditional</w:t>
      </w:r>
      <w:r>
        <w:t xml:space="preserve"> </w:t>
      </w:r>
      <w:r>
        <w:rPr>
          <w:i/>
          <w:iCs/>
        </w:rPr>
        <w:t xml:space="preserve">R</w:t>
      </w:r>
      <w:r>
        <w:t xml:space="preserve">² and leave the fixed effects unchanged, so we freeze the three-level intercept structure (Supplementary Note S3).</w:t>
      </w:r>
    </w:p>
    <w:p>
      <w:pPr>
        <w:pStyle w:val="BodyText"/>
      </w:pPr>
      <w:r>
        <w:t xml:space="preserve">The random intercepts have standard deviations of 0.405 for species, 0.326 for province and 0.804 for province by year, so one standard deviation multiplies the hazard by 1.50, 1.39 and 2.23 respectively, and the fitted province-year levels span a thirteenfold range (Fig. 3c). The province-by-year term is the single largest variance component, larger than either fixed effect.</w:t>
      </w:r>
    </w:p>
    <w:p>
      <w:pPr>
        <w:pStyle w:val="BodyText"/>
      </w:pPr>
      <w:r>
        <w:t xml:space="preserve">Ecologically, that component is the scale at which the observation process actually operates: a regional survey campaign, a provincial birding festival, a newly established protected area or a new local reporting channel raises the documentation rate for one province in one year, and such shocks are not shared nationally (Supplementary Note S3; Supplementary Table S4). The reporting-completeness offset is a known correction rather than a free parameter; omitting it attenuates the effort coefficient from 1.372 to 1.245, because censoring is concentrated in the recent, high-effort years.</w:t>
      </w:r>
    </w:p>
    <w:bookmarkEnd w:id="15"/>
    <w:bookmarkStart w:id="16" w:name="Xf38245127daa17f58c79a23a62853ee4cbb15cc"/>
    <w:p>
      <w:pPr>
        <w:pStyle w:val="Heading3"/>
      </w:pPr>
      <w:r>
        <w:t xml:space="preserve">Migratory strategy shifts the baseline, not the drivers</w:t>
      </w:r>
    </w:p>
    <w:p>
      <w:pPr>
        <w:pStyle w:val="FirstParagraph"/>
      </w:pPr>
      <w:r>
        <w:t xml:space="preserve">Migratory strategy shifts the baseline hazard, improving fit by ΔAIC 6.2, but moderates neither driver: warming and effort raise the hazard in residents, partial migrants and long-distance migrants alike, and no interaction with strategy is supported (Supplementary Note S4; Supplementary Table S5; Supplementary Fig. S5).</w:t>
      </w:r>
    </w:p>
    <w:bookmarkEnd w:id="16"/>
    <w:bookmarkStart w:id="17" w:name="which-species-and-which-provinces"/>
    <w:p>
      <w:pPr>
        <w:pStyle w:val="Heading3"/>
      </w:pPr>
      <w:r>
        <w:t xml:space="preserve">Which species, and which provinces</w:t>
      </w:r>
    </w:p>
    <w:p>
      <w:pPr>
        <w:pStyle w:val="FirstParagraph"/>
      </w:pPr>
      <w:r>
        <w:t xml:space="preserve">Two companion analyses operate at coarser levels (Supplementary Note S5; Supplementary Tables S6–S8; Supplementary Figs S6, S7). Two species-level effects hold under all three treatments of phylogenetic non-independence: partial migrants are about twice as likely as residents to yield a new provincial record, and range size raises the odds — but only when range is measured as an area, because the count of provinces occupied is contaminated by the response.</w:t>
      </w:r>
    </w:p>
    <w:p>
      <w:pPr>
        <w:pStyle w:val="BodyText"/>
      </w:pPr>
      <w:r>
        <w:t xml:space="preserve">At the provincial level, the informative model treats recent effort as an offset, making the response the discovery rate per unit of effort; provinces already well covered in 2002–2008 yield fewer records per unit of recent effort (0.71,</w:t>
      </w:r>
      <w:r>
        <w:t xml:space="preserve"> </w:t>
      </w:r>
      <w:r>
        <w:rPr>
          <w:i/>
          <w:iCs/>
        </w:rPr>
        <w:t xml:space="preserve">P</w:t>
      </w:r>
      <w:r>
        <w:t xml:space="preserve"> </w:t>
      </w:r>
      <w:r>
        <w:t xml:space="preserve">= 0.028). Effort therefore appears at the provincial scale not as a count effect but as diminishing returns — the same signal the hazard model shows as an effort coefficient that falls through time.</w:t>
      </w:r>
    </w:p>
    <w:bookmarkEnd w:id="17"/>
    <w:bookmarkStart w:id="18" w:name="Xc6bca05a8d0c9105c2bfd59170cf82c9f277673"/>
    <w:p>
      <w:pPr>
        <w:pStyle w:val="Heading3"/>
      </w:pPr>
      <w:r>
        <w:t xml:space="preserve">New records are strongly biased toward the east and northeast</w:t>
      </w:r>
    </w:p>
    <w:p>
      <w:pPr>
        <w:pStyle w:val="FirstParagraph"/>
      </w:pPr>
      <w:r>
        <w:t xml:space="preserve">If new records simply filled in survey gaps at random, they would fall on all sides of a species’ known range with equal frequency. They do not. Taking the bearing from the centroid of each species’ BirdLife range to the record and binning into eight sectors, direction is far from uniform (χ² = 580.1, df = 7,</w:t>
      </w:r>
      <w:r>
        <w:t xml:space="preserve"> </w:t>
      </w:r>
      <w:r>
        <w:rPr>
          <w:i/>
          <w:iCs/>
        </w:rPr>
        <w:t xml:space="preserve">P</w:t>
      </w:r>
      <w:r>
        <w:t xml:space="preserve"> </w:t>
      </w:r>
      <w:r>
        <w:t xml:space="preserve">= 4.6 × 10⁻¹²¹; Fig. 4). Two sectors are over-represented after Holm correction: east holds 237 of 642 records (36.9%, against 80.2 expected) and northeast 179 (27.9%). South and west are nearly empty, with 20 and 19. The pattern is not carried by one taxon: five well-sampled orders reject uniformity on their own, and in every case the significant sectors are east, northeast or both (Supplementary Note S6; Supplementary Fig. S16).</w:t>
      </w:r>
    </w:p>
    <w:p>
      <w:pPr>
        <w:pStyle w:val="BodyText"/>
      </w:pPr>
      <w:r>
        <w:t xml:space="preserve">Two mechanisms are consistent with this and cannot be separated by these data. Observationally, the eastern half of China holds the great majority of the observer population, so a range edge is far more likely to be watched on its eastern than on its western side. Ecologically, eastern and north-eastern margins are where suitable climate is expanding fastest for a warming-tracking assemblage. That birds show an eastward rather than a northward bias is itself informative: China’s observer gradient runs west-to-east, not south-to-north, which tilts the balance toward the observational explanation for this taxon.</w:t>
      </w:r>
    </w:p>
    <w:bookmarkEnd w:id="18"/>
    <w:bookmarkStart w:id="19" w:name="the-return-on-survey-effort-is-declining"/>
    <w:p>
      <w:pPr>
        <w:pStyle w:val="Heading3"/>
      </w:pPr>
      <w:r>
        <w:t xml:space="preserve">The return on survey effort is declining</w:t>
      </w:r>
    </w:p>
    <w:p>
      <w:pPr>
        <w:pStyle w:val="FirstParagraph"/>
      </w:pPr>
      <w:r>
        <w:t xml:space="preserve">The proportional-hazards assumption holds for accumulated warming (interaction with time β = −0.022,</w:t>
      </w:r>
      <w:r>
        <w:t xml:space="preserve"> </w:t>
      </w:r>
      <w:r>
        <w:rPr>
          <w:i/>
          <w:iCs/>
        </w:rPr>
        <w:t xml:space="preserve">P</w:t>
      </w:r>
      <w:r>
        <w:t xml:space="preserve"> </w:t>
      </w:r>
      <w:r>
        <w:t xml:space="preserve">= 0.82) but not for effort (β = −0.211,</w:t>
      </w:r>
      <w:r>
        <w:t xml:space="preserve"> </w:t>
      </w:r>
      <w:r>
        <w:rPr>
          <w:i/>
          <w:iCs/>
        </w:rPr>
        <w:t xml:space="preserve">P</w:t>
      </w:r>
      <w:r>
        <w:t xml:space="preserve"> </w:t>
      </w:r>
      <w:r>
        <w:t xml:space="preserve">= 7.7 × 10⁻⁴). This is a substantive result rather than a diagnostic failure. Allowing the effort coefficient to vary through time, its hazard ratio falls from 2.18 (95% CI 1.63–2.90) in 2002 to 1.07 (0.88–1.30) in 2024, crossing into non-significance in the early 2020s (Fig. 3d). Two decades of intensifying observation have used up the readily detectable gaps. That the climate term shows no such decline is the sharpest available evidence that the two coefficients capture different processes: a saturating observational one and a non-saturating climatic one.</w:t>
      </w:r>
    </w:p>
    <w:bookmarkEnd w:id="19"/>
    <w:bookmarkStart w:id="20" w:name="robustness"/>
    <w:p>
      <w:pPr>
        <w:pStyle w:val="Heading3"/>
      </w:pPr>
      <w:r>
        <w:t xml:space="preserve">Robustness</w:t>
      </w:r>
    </w:p>
    <w:p>
      <w:pPr>
        <w:pStyle w:val="FirstParagraph"/>
      </w:pPr>
      <w:r>
        <w:t xml:space="preserve">The conclusions do not depend on any freely chosen analytical decision (Supplementary Note S7; Supplementary Figs S2, S3; Supplementary Table S10). Raising the species-distribution-model threshold from 50 to 200 suitable cells changes the risk set from 175,901 to 155,435 rows but leaves the coefficients essentially fixed (effort 1.404, 1.405, 1.411; warming 1.362, 1.376, 1.372; interaction 0.849, 0.851, 0.850). All twelve combinations of four effort proxies and three treatments of the 24 implausible zero cells give effort hazard ratios between 1.25 and 1.52 and warming hazard ratios between 1.35 and 1.37. Tested jointly against three series (WorldClim 1980–2000, CRU 1980–2000 and CRU 1970–2000; the 1970–2000 baseline cannot be computed from the WorldClim downscaling), the warming coefficient rises with window length in every series, from about 1.16–1.21 at five years to 1.36–1.40 at twenty — the signature expected of a process that integrates climate over years to decades, with an interior optimum. We retain 15 years as pre-specified; it lies within 2.2–5.6 AIC units of the optimum in every series. The effort coefficient is flat at 1.34–1.41 across the same grid: if the two terms were competing for the same variance, changing the climate specification would move the effort estimate, and it does not.</w:t>
      </w:r>
    </w:p>
    <w:bookmarkEnd w:id="20"/>
    <w:bookmarkStart w:id="21" w:name="model-adequacy"/>
    <w:p>
      <w:pPr>
        <w:pStyle w:val="Heading3"/>
      </w:pPr>
      <w:r>
        <w:t xml:space="preserve">Model adequacy</w:t>
      </w:r>
    </w:p>
    <w:p>
      <w:pPr>
        <w:pStyle w:val="FirstParagraph"/>
      </w:pPr>
      <w:r>
        <w:t xml:space="preserve">Simulation-based residual diagnostics indicate a well-calibrated model with no spatial autocorrelation in province-mean residuals, apart from a significant outlier test (95 outliers,</w:t>
      </w:r>
      <w:r>
        <w:t xml:space="preserve"> </w:t>
      </w:r>
      <w:r>
        <w:rPr>
          <w:i/>
          <w:iCs/>
        </w:rPr>
        <w:t xml:space="preserve">P</w:t>
      </w:r>
      <w:r>
        <w:t xml:space="preserve"> </w:t>
      </w:r>
      <w:r>
        <w:t xml:space="preserve">&lt; 0.001) that is expected of a binary outcome with an event rate of 0.37% (Supplementary Note S8; Supplementary Table S3; Supplementary Figs S8, S9). Three design-preserving permutation nulls, each destroying exactly one association while holding the risk set, the per-province-year event counts, the effort and completeness marginals and the random-effect hierarchy fixed, place every reported coefficient outside its null distribution except annual climate variability; a cluster bootstrap of 300 resamples and a parametric bootstrap of 150 simulations agree that provincial, but not species, clustering inflates the model-based standard errors. Leaving out each province in turn, and each of ten species deciles, shows that no single province or species group carries the result.</w:t>
      </w:r>
    </w:p>
    <w:bookmarkEnd w:id="21"/>
    <w:bookmarkStart w:id="22" w:name="X30c910c5c654a1a1551de8e16c7c8a457dac784"/>
    <w:p>
      <w:pPr>
        <w:pStyle w:val="Heading3"/>
      </w:pPr>
      <w:r>
        <w:t xml:space="preserve">How far can these relationships be projected?</w:t>
      </w:r>
    </w:p>
    <w:p>
      <w:pPr>
        <w:pStyle w:val="FirstParagraph"/>
      </w:pPr>
      <w:r>
        <w:t xml:space="preserve">We projected the fitted hazard under CMIP6 SSP2-4.5 and SSP5-8.5 for 2030, 2050 and 2080, applying the four-model ensemble delta to both ends of the climate gradient, and asked how much of each scenario lies inside the range over which the model was fitted (Fig. 5b).</w:t>
      </w:r>
    </w:p>
    <w:p>
      <w:pPr>
        <w:pStyle w:val="BodyText"/>
      </w:pPr>
      <w:r>
        <w:t xml:space="preserve">The answer sharply constrains what can be claimed. The historical species-specific gradient has a standard deviation of only 0.18 °C, because provincial and range-wide anomalies largely move together. Future province-minus-range warming differentials reach 2 °C, more than ten standard deviations beyond the fitted range. Consequently, only 47.8% of species-province cells fall inside the fitted covariate support under SSP2-4.5 in 2030, 10.4% in 2050 and 2.1% in 2080; under SSP5-8.5 the corresponding figures are 34.2%, 2.1% and 1.9%.</w:t>
      </w:r>
    </w:p>
    <w:p>
      <w:pPr>
        <w:pStyle w:val="BodyText"/>
      </w:pPr>
      <w:r>
        <w:t xml:space="preserve">Restricted to cells inside the support, the mechanistic model projects hazard ratios relative to 2024 of 0.79 to 2.94; applied without the mask, the same model produces ratios up to 78. A gradient-boosted comparison model trained on the same three predictors tracks the mechanistic model inside the observed range but diverges completely outside it, agreeing on the direction of change in only 23.7% of cells (Fig. 5c; Supplementary Note S9; Supplementary Figs S10–S12).</w:t>
      </w:r>
    </w:p>
    <w:bookmarkEnd w:id="22"/>
    <w:bookmarkStart w:id="23" w:name="X8e399277562751b0978c96f332af6194ca3906c"/>
    <w:p>
      <w:pPr>
        <w:pStyle w:val="Heading3"/>
      </w:pPr>
      <w:r>
        <w:t xml:space="preserve">Records inside nature reserves measure the observation process, not reserve performance</w:t>
      </w:r>
    </w:p>
    <w:p>
      <w:pPr>
        <w:pStyle w:val="FirstParagraph"/>
      </w:pPr>
      <w:r>
        <w:t xml:space="preserve">Twenty-six per cent of new records fall inside one of the 1,028 mapped Chinese nature reserves, against a land-area share of 10.4% — an apparent 2.5-fold enrichment that would ordinarily be read as evidence that the reserve network is receiving redistributing species. We tested that reading against the observation process directly, using 2.86 million GBIF/eBird checklists to define availability as where birdwatchers actually went and matching each event to 200 checklist-weighted controls from the same province and year. Conditioned in this way, the enrichment falls to an odds ratio of 1.71 (95% CI 1.39–2.11), and to 1.57 (1.26–1.96) after adding elevation, longitude and two bioclimatic covariates. Because within-site observation bias cannot be conditioned out, we treat 1.57 as an upper bound on any ecological contribution, and the operational conclusion is that counts of new records inside reserves should not be used as an indicator of reserve performance (Supplementary Note S10; Supplementary Figs S13–S15).</w:t>
      </w:r>
    </w:p>
    <w:bookmarkEnd w:id="23"/>
    <w:bookmarkEnd w:id="24"/>
    <w:bookmarkStart w:id="26" w:name="discussion"/>
    <w:p>
      <w:pPr>
        <w:pStyle w:val="Heading2"/>
      </w:pPr>
      <w:r>
        <w:t xml:space="preserve">Discussion</w:t>
      </w:r>
    </w:p>
    <w:p>
      <w:pPr>
        <w:pStyle w:val="FirstParagraph"/>
      </w:pPr>
      <w:r>
        <w:t xml:space="preserve">Three results have implications beyond this dataset.</w:t>
      </w:r>
    </w:p>
    <w:p>
      <w:pPr>
        <w:pStyle w:val="BodyText"/>
      </w:pPr>
      <w:r>
        <w:rPr>
          <w:b/>
          <w:bCs/>
        </w:rPr>
        <w:t xml:space="preserve">The date attached to a record is a modelling decision, not a bookkeeping detail.</w:t>
      </w:r>
      <w:r>
        <w:t xml:space="preserve"> </w:t>
      </w:r>
      <w:r>
        <w:t xml:space="preserve">Compilations of new distribution records are assembled from the published literature, and publication year is the field that primary sources report consistently. Our decomposition shows that using it inflates the apparent contribution of survey effort by 37% and manufactures an effect of annual climate variability that does not exist. The bias is directional and predictable: because publication year and observational capacity both trend upward, the misalignment always favours the covariate that trends with observer numbers. Any compilation-based analysis that reports an effort or sampling-intensity effect without discovery dates should be read with this in mind. Where discovery dates are unavailable, our completeness framework provides a partial remedy, but the first-order fix is to record and report the observation date.</w:t>
      </w:r>
    </w:p>
    <w:p>
      <w:pPr>
        <w:pStyle w:val="BodyText"/>
      </w:pPr>
      <w:r>
        <w:rPr>
          <w:b/>
          <w:bCs/>
        </w:rPr>
        <w:t xml:space="preserve">Accumulated warming is not a minor addition to a sampling story.</w:t>
      </w:r>
      <w:r>
        <w:t xml:space="preserve"> </w:t>
      </w:r>
      <w:r>
        <w:t xml:space="preserve">After correction, warming relative to a species’ historical range and survey effort contribute comparably to the hazard of a new provincial record, and warming discriminates slightly better between event and non-event cells. This is not a claim that new records are unbiased evidence of range expansion; the effort effect remains large, and the province-by-year variance component (standard deviation 0.804 on the latent scale) is the single largest source of heterogeneity in the model. Nor is the distance of the warming coefficient from unity the right measure of the species-specific signal: design-preserving nulls centre it on 1.157, so the increment attributable to referencing climate to each species’ own range is about 1.18. It is a claim that the climate signal is not an artefact of where people look, because it survives the inclusion of effort at four proxies, three missing-data rules, three candidate-pool definitions and a random structure that absorbs province-year observational shocks.</w:t>
      </w:r>
    </w:p>
    <w:p>
      <w:pPr>
        <w:pStyle w:val="BodyText"/>
      </w:pPr>
      <w:r>
        <w:t xml:space="preserve">The negative interaction refines this. Warming raises the hazard most where effort is low, and two non-exclusive readings fit: sparsely surveyed provinces are disproportionately western and montane, with steep climatic gradients; densely surveyed ones have already absorbed much of their Wallacean shortfall. The declining marginal return of effort supports the second. Distinguishing them requires detection probability conditional on presence, which provincial compilations do not provide.</w:t>
      </w:r>
    </w:p>
    <w:p>
      <w:pPr>
        <w:pStyle w:val="BodyText"/>
      </w:pPr>
      <w:r>
        <w:rPr>
          <w:b/>
          <w:bCs/>
        </w:rPr>
        <w:t xml:space="preserve">Projection is limited by covariate support, not by scenario availability.</w:t>
      </w:r>
      <w:r>
        <w:t xml:space="preserve"> </w:t>
      </w:r>
      <w:r>
        <w:t xml:space="preserve">A fitted hazard model can be pushed through CMIP6 surfaces to 2080 to produce a map. Our support diagnostic shows that fewer than one in fifty species-province cells then resembles anything in the fitted data, because the species-specific climate gradient — a difference between two covarying anomalies — has a historical standard deviation an order of magnitude smaller than the future warming differentials imposed on it. The consequence is not merely wide uncertainty; it is that mechanistic and machine-learning models trained on identical data disagree on the direction of change in three quarters of cells. We recommend that projections of record generation, and of range-shift indicators built on species-specific climate differentials more generally, report the fraction of projected cells inside the fitted support as a matter of routine</w:t>
      </w:r>
      <w:r>
        <w:rPr>
          <w:rStyle w:val="FootnoteReference"/>
        </w:rPr>
        <w:footnoteReference w:id="25"/>
      </w:r>
      <w:r>
        <w:t xml:space="preserve">^. Where that fraction is small, the honest product is a near-term surface with an explicit support mask, not a century-scale map.</w:t>
      </w:r>
    </w:p>
    <w:p>
      <w:pPr>
        <w:pStyle w:val="BodyText"/>
      </w:pPr>
      <w:r>
        <w:rPr>
          <w:b/>
          <w:bCs/>
        </w:rPr>
        <w:t xml:space="preserve">Implications for monitoring.</w:t>
      </w:r>
      <w:r>
        <w:t xml:space="preserve"> </w:t>
      </w:r>
      <w:r>
        <w:t xml:space="preserve">Because a single province-year shock of one standard deviation multiplies the hazard by 2.23, more than either driver, targeted survey campaigns have large and immediate effects on the biodiversity record and should be allocated deliberately rather than opportunistically — preferentially to under-covered, climatically dynamic provinces, where the negative interaction implies more new documentation per unit effort. Because the marginal return of effort has declined measurably within two decades, monitoring programmes should expect diminishing returns and should not read a plateau in new records as evidence that redistribution has slowed.</w:t>
      </w:r>
    </w:p>
    <w:p>
      <w:pPr>
        <w:pStyle w:val="BodyText"/>
      </w:pPr>
      <w:r>
        <w:rPr>
          <w:b/>
          <w:bCs/>
        </w:rPr>
        <w:t xml:space="preserve">Limitations.</w:t>
      </w:r>
      <w:r>
        <w:t xml:space="preserve"> </w:t>
      </w:r>
      <w:r>
        <w:t xml:space="preserve">Our events are formal published records, not detections; a species present but undocumented contributes to the non-event cells, so all coefficients describe the generation of</w:t>
      </w:r>
      <w:r>
        <w:t xml:space="preserve"> </w:t>
      </w:r>
      <w:r>
        <w:rPr>
          <w:i/>
          <w:iCs/>
        </w:rPr>
        <w:t xml:space="preserve">documented</w:t>
      </w:r>
      <w:r>
        <w:t xml:space="preserve"> </w:t>
      </w:r>
      <w:r>
        <w:t xml:space="preserve">records rather than of range expansions per se. This is the sense in which our framing is deliberately narrower than an attribution claim. The effort panel is provincial and annual, which is coarse relative to the scale at which observers actually operate. The candidate pool is defined by species-distribution models, whose thresholds we varied but whose structural assumptions we did not. Vagrant taxa without established Chinese ranges were excluded, so our results describe range-margin dynamics rather than long-distance displacement. Finally, the discovery-year series is right-censored at its most recent end; the completeness offset corrects the expected hazard but cannot recover the individual records that have not yet been published.</w:t>
      </w:r>
    </w:p>
    <w:bookmarkEnd w:id="26"/>
    <w:bookmarkStart w:id="27" w:name="references"/>
    <w:p>
      <w:pPr>
        <w:pStyle w:val="Heading2"/>
      </w:pPr>
      <w:r>
        <w:t xml:space="preserve">References</w:t>
      </w:r>
    </w:p>
    <w:p>
      <w:pPr>
        <w:pStyle w:val="Compact"/>
        <w:numPr>
          <w:ilvl w:val="0"/>
          <w:numId w:val="1001"/>
        </w:numPr>
      </w:pPr>
      <w:r>
        <w:t xml:space="preserve">Hortal, J. et al. Seven shortfalls that beset large-scale knowledge of biodiversity.</w:t>
      </w:r>
      <w:r>
        <w:t xml:space="preserve"> </w:t>
      </w:r>
      <w:r>
        <w:rPr>
          <w:i/>
          <w:iCs/>
        </w:rPr>
        <w:t xml:space="preserve">Annu. Rev. Ecol. Evol. Syst.</w:t>
      </w:r>
      <w:r>
        <w:t xml:space="preserve"> </w:t>
      </w:r>
      <w:r>
        <w:rPr>
          <w:b/>
          <w:bCs/>
        </w:rPr>
        <w:t xml:space="preserve">46</w:t>
      </w:r>
      <w:r>
        <w:t xml:space="preserve">, 523–549 (2015). https://doi.org/10.1146/annurev-ecolsys-112414-054400</w:t>
      </w:r>
    </w:p>
    <w:p>
      <w:pPr>
        <w:pStyle w:val="Compact"/>
        <w:numPr>
          <w:ilvl w:val="0"/>
          <w:numId w:val="1001"/>
        </w:numPr>
      </w:pPr>
      <w:r>
        <w:t xml:space="preserve">Diniz-Filho, J. A. F. et al. Macroecological links between the Linnean, Wallacean, and Darwinian shortfalls.</w:t>
      </w:r>
      <w:r>
        <w:t xml:space="preserve"> </w:t>
      </w:r>
      <w:r>
        <w:rPr>
          <w:i/>
          <w:iCs/>
        </w:rPr>
        <w:t xml:space="preserve">Front. Biogeogr.</w:t>
      </w:r>
      <w:r>
        <w:t xml:space="preserve"> </w:t>
      </w:r>
      <w:r>
        <w:rPr>
          <w:b/>
          <w:bCs/>
        </w:rPr>
        <w:t xml:space="preserve">15</w:t>
      </w:r>
      <w:r>
        <w:t xml:space="preserve">, e59566 (2023). https://doi.org/10.21425/F5FBG59566</w:t>
      </w:r>
    </w:p>
    <w:p>
      <w:pPr>
        <w:pStyle w:val="Compact"/>
        <w:numPr>
          <w:ilvl w:val="0"/>
          <w:numId w:val="1001"/>
        </w:numPr>
      </w:pPr>
      <w:r>
        <w:t xml:space="preserve">Moura, M. R. &amp; Jetz, W. Shortfalls and opportunities in terrestrial vertebrate species discovery.</w:t>
      </w:r>
      <w:r>
        <w:t xml:space="preserve"> </w:t>
      </w:r>
      <w:r>
        <w:rPr>
          <w:i/>
          <w:iCs/>
        </w:rPr>
        <w:t xml:space="preserve">Nat. Ecol. Evol.</w:t>
      </w:r>
      <w:r>
        <w:t xml:space="preserve"> </w:t>
      </w:r>
      <w:r>
        <w:rPr>
          <w:b/>
          <w:bCs/>
        </w:rPr>
        <w:t xml:space="preserve">5</w:t>
      </w:r>
      <w:r>
        <w:t xml:space="preserve">, 631–639 (2021). https://doi.org/10.1038/s41559-021-01411-5</w:t>
      </w:r>
    </w:p>
    <w:p>
      <w:pPr>
        <w:pStyle w:val="Compact"/>
        <w:numPr>
          <w:ilvl w:val="0"/>
          <w:numId w:val="1001"/>
        </w:numPr>
      </w:pPr>
      <w:r>
        <w:t xml:space="preserve">Oliver, R. Y., Meyer, C., Ranipeta, A., Winner, K. &amp; Jetz, W. Global and national trends, gaps, and opportunities in documenting and monitoring species distributions.</w:t>
      </w:r>
      <w:r>
        <w:t xml:space="preserve"> </w:t>
      </w:r>
      <w:r>
        <w:rPr>
          <w:i/>
          <w:iCs/>
        </w:rPr>
        <w:t xml:space="preserve">PLoS Biol.</w:t>
      </w:r>
      <w:r>
        <w:t xml:space="preserve"> </w:t>
      </w:r>
      <w:r>
        <w:rPr>
          <w:b/>
          <w:bCs/>
        </w:rPr>
        <w:t xml:space="preserve">19</w:t>
      </w:r>
      <w:r>
        <w:t xml:space="preserve">, e3001336 (2021). https://doi.org/10.1371/journal.pbio.3001336</w:t>
      </w:r>
    </w:p>
    <w:p>
      <w:pPr>
        <w:pStyle w:val="Compact"/>
        <w:numPr>
          <w:ilvl w:val="0"/>
          <w:numId w:val="1001"/>
        </w:numPr>
      </w:pPr>
      <w:r>
        <w:t xml:space="preserve">Parmesan, C. &amp; Yohe, G. A globally coherent fingerprint of climate change impacts across natural systems.</w:t>
      </w:r>
      <w:r>
        <w:t xml:space="preserve"> </w:t>
      </w:r>
      <w:r>
        <w:rPr>
          <w:i/>
          <w:iCs/>
        </w:rPr>
        <w:t xml:space="preserve">Nature</w:t>
      </w:r>
      <w:r>
        <w:t xml:space="preserve"> </w:t>
      </w:r>
      <w:r>
        <w:rPr>
          <w:b/>
          <w:bCs/>
        </w:rPr>
        <w:t xml:space="preserve">421</w:t>
      </w:r>
      <w:r>
        <w:t xml:space="preserve">, 37–42 (2003). https://doi.org/10.1038/nature01286</w:t>
      </w:r>
    </w:p>
    <w:p>
      <w:pPr>
        <w:pStyle w:val="Compact"/>
        <w:numPr>
          <w:ilvl w:val="0"/>
          <w:numId w:val="1001"/>
        </w:numPr>
      </w:pPr>
      <w:r>
        <w:t xml:space="preserve">Chen, I.-C., Hill, J. K., Ohlemüller, R., Roy, D. B. &amp; Thomas, C. D. Rapid range shifts of species associated with high levels of climate warming.</w:t>
      </w:r>
      <w:r>
        <w:t xml:space="preserve"> </w:t>
      </w:r>
      <w:r>
        <w:rPr>
          <w:i/>
          <w:iCs/>
        </w:rPr>
        <w:t xml:space="preserve">Science</w:t>
      </w:r>
      <w:r>
        <w:t xml:space="preserve"> </w:t>
      </w:r>
      <w:r>
        <w:rPr>
          <w:b/>
          <w:bCs/>
        </w:rPr>
        <w:t xml:space="preserve">333</w:t>
      </w:r>
      <w:r>
        <w:t xml:space="preserve">, 1024–1026 (2011). https://doi.org/10.1126/science.1206432</w:t>
      </w:r>
    </w:p>
    <w:p>
      <w:pPr>
        <w:pStyle w:val="Compact"/>
        <w:numPr>
          <w:ilvl w:val="0"/>
          <w:numId w:val="1001"/>
        </w:numPr>
      </w:pPr>
      <w:r>
        <w:t xml:space="preserve">Lenoir, J. &amp; Svenning, J.-C. Climate-related range shifts – a global multidimensional synthesis and new research directions.</w:t>
      </w:r>
      <w:r>
        <w:t xml:space="preserve"> </w:t>
      </w:r>
      <w:r>
        <w:rPr>
          <w:i/>
          <w:iCs/>
        </w:rPr>
        <w:t xml:space="preserve">Ecography</w:t>
      </w:r>
      <w:r>
        <w:t xml:space="preserve"> </w:t>
      </w:r>
      <w:r>
        <w:rPr>
          <w:b/>
          <w:bCs/>
        </w:rPr>
        <w:t xml:space="preserve">38</w:t>
      </w:r>
      <w:r>
        <w:t xml:space="preserve">, 15–28 (2015). https://doi.org/10.1111/ecog.00967</w:t>
      </w:r>
    </w:p>
    <w:p>
      <w:pPr>
        <w:pStyle w:val="Compact"/>
        <w:numPr>
          <w:ilvl w:val="0"/>
          <w:numId w:val="1001"/>
        </w:numPr>
      </w:pPr>
      <w:r>
        <w:t xml:space="preserve">Pecl, G. T. et al. Biodiversity redistribution under climate change: impacts on ecosystems and human well-being.</w:t>
      </w:r>
      <w:r>
        <w:t xml:space="preserve"> </w:t>
      </w:r>
      <w:r>
        <w:rPr>
          <w:i/>
          <w:iCs/>
        </w:rPr>
        <w:t xml:space="preserve">Science</w:t>
      </w:r>
      <w:r>
        <w:t xml:space="preserve"> </w:t>
      </w:r>
      <w:r>
        <w:rPr>
          <w:b/>
          <w:bCs/>
        </w:rPr>
        <w:t xml:space="preserve">355</w:t>
      </w:r>
      <w:r>
        <w:t xml:space="preserve">, eaai9214 (2017). https://doi.org/10.1126/science.aai9214</w:t>
      </w:r>
    </w:p>
    <w:p>
      <w:pPr>
        <w:pStyle w:val="Compact"/>
        <w:numPr>
          <w:ilvl w:val="0"/>
          <w:numId w:val="1001"/>
        </w:numPr>
      </w:pPr>
      <w:r>
        <w:t xml:space="preserve">Chen, S. et al. Chinese provincial-level new records for 96 resident bird species reveal poleward range shifts.</w:t>
      </w:r>
      <w:r>
        <w:t xml:space="preserve"> </w:t>
      </w:r>
      <w:r>
        <w:rPr>
          <w:i/>
          <w:iCs/>
        </w:rPr>
        <w:t xml:space="preserve">Avian Res.</w:t>
      </w:r>
      <w:r>
        <w:t xml:space="preserve"> </w:t>
      </w:r>
      <w:r>
        <w:rPr>
          <w:b/>
          <w:bCs/>
        </w:rPr>
        <w:t xml:space="preserve">16</w:t>
      </w:r>
      <w:r>
        <w:t xml:space="preserve">, 100310 (2025). https://doi.org/10.1016/j.avrs.2025.100310</w:t>
      </w:r>
    </w:p>
    <w:p>
      <w:pPr>
        <w:pStyle w:val="Compact"/>
        <w:numPr>
          <w:ilvl w:val="0"/>
          <w:numId w:val="1001"/>
        </w:numPr>
      </w:pPr>
      <w:r>
        <w:t xml:space="preserve">Ding, C., Ding, J., Qiao, H., Jiang, Z. &amp; Wang, Z. Taxonomic and spatiotemporal patterns and ecological correlates of new mammal distribution records in China.</w:t>
      </w:r>
      <w:r>
        <w:t xml:space="preserve"> </w:t>
      </w:r>
      <w:r>
        <w:rPr>
          <w:i/>
          <w:iCs/>
        </w:rPr>
        <w:t xml:space="preserve">Glob. Ecol. Biogeogr.</w:t>
      </w:r>
      <w:r>
        <w:t xml:space="preserve"> </w:t>
      </w:r>
      <w:r>
        <w:rPr>
          <w:b/>
          <w:bCs/>
        </w:rPr>
        <w:t xml:space="preserve">34</w:t>
      </w:r>
      <w:r>
        <w:t xml:space="preserve">, e70165 (2025). https://doi.org/10.1111/geb.70165</w:t>
      </w:r>
    </w:p>
    <w:p>
      <w:pPr>
        <w:pStyle w:val="Compact"/>
        <w:numPr>
          <w:ilvl w:val="0"/>
          <w:numId w:val="1001"/>
        </w:numPr>
      </w:pPr>
      <w:r>
        <w:t xml:space="preserve">Sullivan, B. L. et al. eBird: a citizen-based bird observation network in the biological sciences.</w:t>
      </w:r>
      <w:r>
        <w:t xml:space="preserve"> </w:t>
      </w:r>
      <w:r>
        <w:rPr>
          <w:i/>
          <w:iCs/>
        </w:rPr>
        <w:t xml:space="preserve">Biol. Conserv.</w:t>
      </w:r>
      <w:r>
        <w:t xml:space="preserve"> </w:t>
      </w:r>
      <w:r>
        <w:rPr>
          <w:b/>
          <w:bCs/>
        </w:rPr>
        <w:t xml:space="preserve">142</w:t>
      </w:r>
      <w:r>
        <w:t xml:space="preserve">, 2282–2292 (2009). https://doi.org/10.1016/j.biocon.2009.05.006</w:t>
      </w:r>
    </w:p>
    <w:p>
      <w:pPr>
        <w:pStyle w:val="Compact"/>
        <w:numPr>
          <w:ilvl w:val="0"/>
          <w:numId w:val="1001"/>
        </w:numPr>
      </w:pPr>
      <w:r>
        <w:t xml:space="preserve">Chandler, M. et al. Contribution of citizen science towards international biodiversity monitoring.</w:t>
      </w:r>
      <w:r>
        <w:t xml:space="preserve"> </w:t>
      </w:r>
      <w:r>
        <w:rPr>
          <w:i/>
          <w:iCs/>
        </w:rPr>
        <w:t xml:space="preserve">Biol. Conserv.</w:t>
      </w:r>
      <w:r>
        <w:t xml:space="preserve"> </w:t>
      </w:r>
      <w:r>
        <w:rPr>
          <w:b/>
          <w:bCs/>
        </w:rPr>
        <w:t xml:space="preserve">213</w:t>
      </w:r>
      <w:r>
        <w:t xml:space="preserve">, 280–294 (2017). https://doi.org/10.1016/j.biocon.2016.09.004</w:t>
      </w:r>
    </w:p>
    <w:p>
      <w:pPr>
        <w:pStyle w:val="Compact"/>
        <w:numPr>
          <w:ilvl w:val="0"/>
          <w:numId w:val="1001"/>
        </w:numPr>
      </w:pPr>
      <w:r>
        <w:t xml:space="preserve">Isaac, N. J. B., van Strien, A. J., August, T. A., de Zeeuw, M. P. &amp; Roy, D. B.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 https://doi.org/10.1111/2041-210X.12254</w:t>
      </w:r>
    </w:p>
    <w:p>
      <w:pPr>
        <w:pStyle w:val="Compact"/>
        <w:numPr>
          <w:ilvl w:val="0"/>
          <w:numId w:val="1001"/>
        </w:numPr>
      </w:pPr>
      <w:r>
        <w:t xml:space="preserve">MacKenzie, D. I. et al. Estimating site occupancy rates when detection probabilities are less than one.</w:t>
      </w:r>
      <w:r>
        <w:t xml:space="preserve"> </w:t>
      </w:r>
      <w:r>
        <w:rPr>
          <w:i/>
          <w:iCs/>
        </w:rPr>
        <w:t xml:space="preserve">Ecology</w:t>
      </w:r>
      <w:r>
        <w:t xml:space="preserve"> </w:t>
      </w:r>
      <w:r>
        <w:rPr>
          <w:b/>
          <w:bCs/>
        </w:rPr>
        <w:t xml:space="preserve">83</w:t>
      </w:r>
      <w:r>
        <w:t xml:space="preserve">, 2248–2255 (2002). https://doi.org/10.1890/0012-9658(2002)083[2248:ESORWD]2.0.CO;2</w:t>
      </w:r>
    </w:p>
    <w:p>
      <w:pPr>
        <w:pStyle w:val="Compact"/>
        <w:numPr>
          <w:ilvl w:val="0"/>
          <w:numId w:val="1001"/>
        </w:numPr>
      </w:pPr>
      <w:r>
        <w:t xml:space="preserve">Miller-ter Kuile, A. et al. If you’re rare, should I care? How imperfect detection changes relationships between biodiversity and global change drivers.</w:t>
      </w:r>
      <w:r>
        <w:t xml:space="preserve"> </w:t>
      </w:r>
      <w:r>
        <w:rPr>
          <w:i/>
          <w:iCs/>
        </w:rPr>
        <w:t xml:space="preserve">Glob. Change Biol.</w:t>
      </w:r>
      <w:r>
        <w:t xml:space="preserve"> </w:t>
      </w:r>
      <w:r>
        <w:rPr>
          <w:b/>
          <w:bCs/>
        </w:rPr>
        <w:t xml:space="preserve">31</w:t>
      </w:r>
      <w:r>
        <w:t xml:space="preserve">, e70362 (2025). https://doi.org/10.1111/gcb.70362</w:t>
      </w:r>
    </w:p>
    <w:p>
      <w:pPr>
        <w:pStyle w:val="Compact"/>
        <w:numPr>
          <w:ilvl w:val="0"/>
          <w:numId w:val="1001"/>
        </w:numPr>
      </w:pPr>
      <w:r>
        <w:t xml:space="preserve">Hughes, A. C. et al. Sampling biases shape our view of the natural world.</w:t>
      </w:r>
      <w:r>
        <w:t xml:space="preserve"> </w:t>
      </w:r>
      <w:r>
        <w:rPr>
          <w:i/>
          <w:iCs/>
        </w:rPr>
        <w:t xml:space="preserve">Ecography</w:t>
      </w:r>
      <w:r>
        <w:t xml:space="preserve"> </w:t>
      </w:r>
      <w:r>
        <w:rPr>
          <w:b/>
          <w:bCs/>
        </w:rPr>
        <w:t xml:space="preserve">44</w:t>
      </w:r>
      <w:r>
        <w:t xml:space="preserve">, 1259–1269 (2021). https://doi.org/10.1111/ecog.05926</w:t>
      </w:r>
    </w:p>
    <w:p>
      <w:pPr>
        <w:pStyle w:val="Compact"/>
        <w:numPr>
          <w:ilvl w:val="0"/>
          <w:numId w:val="1001"/>
        </w:numPr>
      </w:pPr>
      <w:r>
        <w:t xml:space="preserve">Lahoz-Monfort, J. J. &amp; Magrath, M. J. L. A comprehensive overview of technologies for species and habitat monitoring and conservation.</w:t>
      </w:r>
      <w:r>
        <w:t xml:space="preserve"> </w:t>
      </w:r>
      <w:r>
        <w:rPr>
          <w:i/>
          <w:iCs/>
        </w:rPr>
        <w:t xml:space="preserve">BioScience</w:t>
      </w:r>
      <w:r>
        <w:t xml:space="preserve"> </w:t>
      </w:r>
      <w:r>
        <w:rPr>
          <w:b/>
          <w:bCs/>
        </w:rPr>
        <w:t xml:space="preserve">71</w:t>
      </w:r>
      <w:r>
        <w:t xml:space="preserve">, 1038–1062 (2021). https://doi.org/10.1093/biosci/biab073</w:t>
      </w:r>
    </w:p>
    <w:p>
      <w:pPr>
        <w:pStyle w:val="Compact"/>
        <w:numPr>
          <w:ilvl w:val="0"/>
          <w:numId w:val="1001"/>
        </w:numPr>
      </w:pPr>
      <w:r>
        <w:t xml:space="preserve">Burton, A. C. et al. Wildlife camera trapping: a review and recommendations for linking surveys to ecological processes.</w:t>
      </w:r>
      <w:r>
        <w:t xml:space="preserve"> </w:t>
      </w:r>
      <w:r>
        <w:rPr>
          <w:i/>
          <w:iCs/>
        </w:rPr>
        <w:t xml:space="preserve">J. Appl. Ecol.</w:t>
      </w:r>
      <w:r>
        <w:t xml:space="preserve"> </w:t>
      </w:r>
      <w:r>
        <w:rPr>
          <w:b/>
          <w:bCs/>
        </w:rPr>
        <w:t xml:space="preserve">52</w:t>
      </w:r>
      <w:r>
        <w:t xml:space="preserve">, 675–685 (2015). https://doi.org/10.1111/1365-2664.12432</w:t>
      </w:r>
    </w:p>
    <w:p>
      <w:pPr>
        <w:pStyle w:val="Compact"/>
        <w:numPr>
          <w:ilvl w:val="0"/>
          <w:numId w:val="1001"/>
        </w:numPr>
      </w:pPr>
      <w:r>
        <w:t xml:space="preserve">Tingley, M. W. &amp; Beissinger, S. R. Detecting range shifts from historical species occurrences: new perspectives on old data.</w:t>
      </w:r>
      <w:r>
        <w:t xml:space="preserve"> </w:t>
      </w:r>
      <w:r>
        <w:rPr>
          <w:i/>
          <w:iCs/>
        </w:rPr>
        <w:t xml:space="preserve">Trends Ecol. Evol.</w:t>
      </w:r>
      <w:r>
        <w:t xml:space="preserve"> </w:t>
      </w:r>
      <w:r>
        <w:rPr>
          <w:b/>
          <w:bCs/>
        </w:rPr>
        <w:t xml:space="preserve">24</w:t>
      </w:r>
      <w:r>
        <w:t xml:space="preserve">, 625–633 (2009). https://doi.org/10.1016/j.tree.2009.05.009</w:t>
      </w:r>
    </w:p>
    <w:p>
      <w:pPr>
        <w:pStyle w:val="Compact"/>
        <w:numPr>
          <w:ilvl w:val="0"/>
          <w:numId w:val="1001"/>
        </w:numPr>
      </w:pPr>
      <w:r>
        <w:t xml:space="preserve">Boakes, E. H. et al. Distorted views of biodiversity: spatial and temporal bias in species occurrence data.</w:t>
      </w:r>
      <w:r>
        <w:t xml:space="preserve"> </w:t>
      </w:r>
      <w:r>
        <w:rPr>
          <w:i/>
          <w:iCs/>
        </w:rPr>
        <w:t xml:space="preserve">PLoS Biol.</w:t>
      </w:r>
      <w:r>
        <w:t xml:space="preserve"> </w:t>
      </w:r>
      <w:r>
        <w:rPr>
          <w:b/>
          <w:bCs/>
        </w:rPr>
        <w:t xml:space="preserve">8</w:t>
      </w:r>
      <w:r>
        <w:t xml:space="preserve">, e1000385 (2010). https://doi.org/10.1371/journal.pbio.1000385</w:t>
      </w:r>
    </w:p>
    <w:p>
      <w:pPr>
        <w:pStyle w:val="Compact"/>
        <w:numPr>
          <w:ilvl w:val="0"/>
          <w:numId w:val="1001"/>
        </w:numPr>
      </w:pPr>
      <w:r>
        <w:t xml:space="preserve">Bowler, D. E. et al. Treating gaps and biases in biodiversity data as a missing data problem.</w:t>
      </w:r>
      <w:r>
        <w:t xml:space="preserve"> </w:t>
      </w:r>
      <w:r>
        <w:rPr>
          <w:i/>
          <w:iCs/>
        </w:rPr>
        <w:t xml:space="preserve">Biol. Rev.</w:t>
      </w:r>
      <w:r>
        <w:t xml:space="preserve"> </w:t>
      </w:r>
      <w:r>
        <w:rPr>
          <w:b/>
          <w:bCs/>
        </w:rPr>
        <w:t xml:space="preserve">100</w:t>
      </w:r>
      <w:r>
        <w:t xml:space="preserve">, 50–67 (2025). https://doi.org/10.1111/brv.13127</w:t>
      </w:r>
    </w:p>
    <w:p>
      <w:pPr>
        <w:pStyle w:val="Compact"/>
        <w:numPr>
          <w:ilvl w:val="0"/>
          <w:numId w:val="1001"/>
        </w:numPr>
      </w:pPr>
      <w:r>
        <w:t xml:space="preserve">Beck, J., Böller, M., Erhardt, A. &amp; Schwanghart, W. Spatial bias in the GBIF database and its effect on modeling species’ geographic distributions.</w:t>
      </w:r>
      <w:r>
        <w:t xml:space="preserve"> </w:t>
      </w:r>
      <w:r>
        <w:rPr>
          <w:i/>
          <w:iCs/>
        </w:rPr>
        <w:t xml:space="preserve">Ecol. Inform.</w:t>
      </w:r>
      <w:r>
        <w:t xml:space="preserve"> </w:t>
      </w:r>
      <w:r>
        <w:rPr>
          <w:b/>
          <w:bCs/>
        </w:rPr>
        <w:t xml:space="preserve">19</w:t>
      </w:r>
      <w:r>
        <w:t xml:space="preserve">, 10–15 (2014). https://doi.org/10.1016/j.ecoinf.2013.11.002</w:t>
      </w:r>
    </w:p>
    <w:p>
      <w:pPr>
        <w:pStyle w:val="Compact"/>
        <w:numPr>
          <w:ilvl w:val="0"/>
          <w:numId w:val="1001"/>
        </w:numPr>
      </w:pPr>
      <w:r>
        <w:t xml:space="preserve">Meyer, C., Kreft, H., Guralnick, R. &amp; Jetz, W. Global priorities for an effective information basis of biodiversity distributions.</w:t>
      </w:r>
      <w:r>
        <w:t xml:space="preserve"> </w:t>
      </w:r>
      <w:r>
        <w:rPr>
          <w:i/>
          <w:iCs/>
        </w:rPr>
        <w:t xml:space="preserve">Nat. Commun.</w:t>
      </w:r>
      <w:r>
        <w:t xml:space="preserve"> </w:t>
      </w:r>
      <w:r>
        <w:rPr>
          <w:b/>
          <w:bCs/>
        </w:rPr>
        <w:t xml:space="preserve">6</w:t>
      </w:r>
      <w:r>
        <w:t xml:space="preserve">, 8221 (2015). https://doi.org/10.1038/ncomms9221</w:t>
      </w:r>
    </w:p>
    <w:p>
      <w:pPr>
        <w:pStyle w:val="Compact"/>
        <w:numPr>
          <w:ilvl w:val="0"/>
          <w:numId w:val="1001"/>
        </w:numPr>
      </w:pPr>
      <w:r>
        <w:t xml:space="preserve">Schrodt, F. et al. Advancing causal inference in ecology: pathways for biodiversity change detection and attribution.</w:t>
      </w:r>
      <w:r>
        <w:t xml:space="preserve"> </w:t>
      </w:r>
      <w:r>
        <w:rPr>
          <w:i/>
          <w:iCs/>
        </w:rPr>
        <w:t xml:space="preserve">Methods Ecol. Evol.</w:t>
      </w:r>
      <w:r>
        <w:t xml:space="preserve"> </w:t>
      </w:r>
      <w:r>
        <w:rPr>
          <w:b/>
          <w:bCs/>
        </w:rPr>
        <w:t xml:space="preserve">16</w:t>
      </w:r>
      <w:r>
        <w:t xml:space="preserve">, 2276–2304 (2025). https://doi.org/10.1111/2041-210X.70131</w:t>
      </w:r>
    </w:p>
    <w:p>
      <w:pPr>
        <w:pStyle w:val="Compact"/>
        <w:numPr>
          <w:ilvl w:val="0"/>
          <w:numId w:val="1001"/>
        </w:numPr>
      </w:pPr>
      <w:r>
        <w:t xml:space="preserve">Ding, C. et al. A dataset of provincial-level new distribution records for birds in China from 2000 to 2025.</w:t>
      </w:r>
      <w:r>
        <w:t xml:space="preserve"> </w:t>
      </w:r>
      <w:r>
        <w:rPr>
          <w:i/>
          <w:iCs/>
        </w:rPr>
        <w:t xml:space="preserve">Sci. Data</w:t>
      </w:r>
      <w:r>
        <w:t xml:space="preserve"> </w:t>
      </w:r>
      <w:r>
        <w:t xml:space="preserve">(submitted).</w:t>
      </w:r>
    </w:p>
    <w:p>
      <w:pPr>
        <w:pStyle w:val="Compact"/>
        <w:numPr>
          <w:ilvl w:val="0"/>
          <w:numId w:val="1001"/>
        </w:numPr>
      </w:pPr>
      <w:r>
        <w:t xml:space="preserve">Devictor, V., Julliard, R., Couvet, D. &amp; Jiguet, F. Birds are tracking climate warming, but not fast enough.</w:t>
      </w:r>
      <w:r>
        <w:t xml:space="preserve"> </w:t>
      </w:r>
      <w:r>
        <w:rPr>
          <w:i/>
          <w:iCs/>
        </w:rPr>
        <w:t xml:space="preserve">Proc. R. Soc. B</w:t>
      </w:r>
      <w:r>
        <w:t xml:space="preserve"> </w:t>
      </w:r>
      <w:r>
        <w:rPr>
          <w:b/>
          <w:bCs/>
        </w:rPr>
        <w:t xml:space="preserve">275</w:t>
      </w:r>
      <w:r>
        <w:t xml:space="preserve">, 2743–2748 (2008). https://doi.org/10.1098/rspb.2008.0878</w:t>
      </w:r>
    </w:p>
    <w:p>
      <w:pPr>
        <w:pStyle w:val="Compact"/>
        <w:numPr>
          <w:ilvl w:val="0"/>
          <w:numId w:val="1001"/>
        </w:numPr>
      </w:pPr>
      <w:r>
        <w:t xml:space="preserve">Devictor, V. et al. Differences in the climatic debts of birds and butterflies at a continental scale.</w:t>
      </w:r>
      <w:r>
        <w:t xml:space="preserve"> </w:t>
      </w:r>
      <w:r>
        <w:rPr>
          <w:i/>
          <w:iCs/>
        </w:rPr>
        <w:t xml:space="preserve">Nat. Clim. Change</w:t>
      </w:r>
      <w:r>
        <w:t xml:space="preserve"> </w:t>
      </w:r>
      <w:r>
        <w:rPr>
          <w:b/>
          <w:bCs/>
        </w:rPr>
        <w:t xml:space="preserve">2</w:t>
      </w:r>
      <w:r>
        <w:t xml:space="preserve">, 121–124 (2012). https://doi.org/10.1038/nclimate1347</w:t>
      </w:r>
    </w:p>
    <w:p>
      <w:pPr>
        <w:pStyle w:val="Compact"/>
        <w:numPr>
          <w:ilvl w:val="0"/>
          <w:numId w:val="1001"/>
        </w:numPr>
      </w:pPr>
      <w:r>
        <w:t xml:space="preserve">La Sorte, F. A. &amp; Thompson, F. R. Poleward shifts in winter ranges of North American birds.</w:t>
      </w:r>
      <w:r>
        <w:t xml:space="preserve"> </w:t>
      </w:r>
      <w:r>
        <w:rPr>
          <w:i/>
          <w:iCs/>
        </w:rPr>
        <w:t xml:space="preserve">Ecology</w:t>
      </w:r>
      <w:r>
        <w:t xml:space="preserve"> </w:t>
      </w:r>
      <w:r>
        <w:rPr>
          <w:b/>
          <w:bCs/>
        </w:rPr>
        <w:t xml:space="preserve">88</w:t>
      </w:r>
      <w:r>
        <w:t xml:space="preserve">, 1803–1812 (2007). https://doi.org/10.1890/06-1072.1</w:t>
      </w:r>
    </w:p>
    <w:p>
      <w:pPr>
        <w:pStyle w:val="Compact"/>
        <w:numPr>
          <w:ilvl w:val="0"/>
          <w:numId w:val="1001"/>
        </w:numPr>
      </w:pPr>
      <w:r>
        <w:t xml:space="preserve">Loarie, S. R. et al. The velocity of climate change.</w:t>
      </w:r>
      <w:r>
        <w:t xml:space="preserve"> </w:t>
      </w:r>
      <w:r>
        <w:rPr>
          <w:i/>
          <w:iCs/>
        </w:rPr>
        <w:t xml:space="preserve">Nature</w:t>
      </w:r>
      <w:r>
        <w:t xml:space="preserve"> </w:t>
      </w:r>
      <w:r>
        <w:rPr>
          <w:b/>
          <w:bCs/>
        </w:rPr>
        <w:t xml:space="preserve">462</w:t>
      </w:r>
      <w:r>
        <w:t xml:space="preserve">, 1052–1055 (2009). https://doi.org/10.1038/nature08649</w:t>
      </w:r>
    </w:p>
    <w:p>
      <w:pPr>
        <w:pStyle w:val="Compact"/>
        <w:numPr>
          <w:ilvl w:val="0"/>
          <w:numId w:val="1001"/>
        </w:numPr>
      </w:pPr>
      <w:r>
        <w:t xml:space="preserve">Burrows, M. T. et al. The pace of shifting climate in marine and terrestrial ecosystems.</w:t>
      </w:r>
      <w:r>
        <w:t xml:space="preserve"> </w:t>
      </w:r>
      <w:r>
        <w:rPr>
          <w:i/>
          <w:iCs/>
        </w:rPr>
        <w:t xml:space="preserve">Science</w:t>
      </w:r>
      <w:r>
        <w:t xml:space="preserve"> </w:t>
      </w:r>
      <w:r>
        <w:rPr>
          <w:b/>
          <w:bCs/>
        </w:rPr>
        <w:t xml:space="preserve">334</w:t>
      </w:r>
      <w:r>
        <w:t xml:space="preserve">, 652–655 (2011). https://doi.org/10.1126/science.1210288</w:t>
      </w:r>
    </w:p>
    <w:p>
      <w:pPr>
        <w:pStyle w:val="Compact"/>
        <w:numPr>
          <w:ilvl w:val="0"/>
          <w:numId w:val="1001"/>
        </w:numPr>
      </w:pPr>
      <w:r>
        <w:t xml:space="preserve">Pinsky, M. L., Worm, B., Fogarty, M. J., Sarmiento, J. L. &amp; Levin, S. A. Marine taxa track local climate velocities.</w:t>
      </w:r>
      <w:r>
        <w:t xml:space="preserve"> </w:t>
      </w:r>
      <w:r>
        <w:rPr>
          <w:i/>
          <w:iCs/>
        </w:rPr>
        <w:t xml:space="preserve">Science</w:t>
      </w:r>
      <w:r>
        <w:t xml:space="preserve"> </w:t>
      </w:r>
      <w:r>
        <w:rPr>
          <w:b/>
          <w:bCs/>
        </w:rPr>
        <w:t xml:space="preserve">341</w:t>
      </w:r>
      <w:r>
        <w:t xml:space="preserve">, 1239–1242 (2013). https://doi.org/10.1126/science.1239352</w:t>
      </w:r>
    </w:p>
    <w:p>
      <w:pPr>
        <w:pStyle w:val="Compact"/>
        <w:numPr>
          <w:ilvl w:val="0"/>
          <w:numId w:val="1001"/>
        </w:numPr>
      </w:pPr>
      <w:r>
        <w:t xml:space="preserve">Poloczanska, E. S. et al. Global imprint of climate change on marine life.</w:t>
      </w:r>
      <w:r>
        <w:t xml:space="preserve"> </w:t>
      </w:r>
      <w:r>
        <w:rPr>
          <w:i/>
          <w:iCs/>
        </w:rPr>
        <w:t xml:space="preserve">Nat. Clim. Change</w:t>
      </w:r>
      <w:r>
        <w:t xml:space="preserve"> </w:t>
      </w:r>
      <w:r>
        <w:rPr>
          <w:b/>
          <w:bCs/>
        </w:rPr>
        <w:t xml:space="preserve">3</w:t>
      </w:r>
      <w:r>
        <w:t xml:space="preserve">, 919–925 (2013). https://doi.org/10.1038/nclimate1958</w:t>
      </w:r>
    </w:p>
    <w:p>
      <w:pPr>
        <w:pStyle w:val="Compact"/>
        <w:numPr>
          <w:ilvl w:val="0"/>
          <w:numId w:val="1001"/>
        </w:numPr>
      </w:pPr>
      <w:r>
        <w:t xml:space="preserve">Williams, J. W. &amp; Jackson, S. T. Novel climates, no-analog communities, and ecological surprises.</w:t>
      </w:r>
      <w:r>
        <w:t xml:space="preserve"> </w:t>
      </w:r>
      <w:r>
        <w:rPr>
          <w:i/>
          <w:iCs/>
        </w:rPr>
        <w:t xml:space="preserve">Front. Ecol. Environ.</w:t>
      </w:r>
      <w:r>
        <w:t xml:space="preserve"> </w:t>
      </w:r>
      <w:r>
        <w:rPr>
          <w:b/>
          <w:bCs/>
        </w:rPr>
        <w:t xml:space="preserve">5</w:t>
      </w:r>
      <w:r>
        <w:t xml:space="preserve">, 475–482 (2007). https://doi.org/10.1890/070037</w:t>
      </w:r>
    </w:p>
    <w:p>
      <w:pPr>
        <w:pStyle w:val="Compact"/>
        <w:numPr>
          <w:ilvl w:val="0"/>
          <w:numId w:val="1001"/>
        </w:numPr>
      </w:pPr>
      <w:r>
        <w:t xml:space="preserve">Mahony, C. R., Cannon, A. J., Wang, T. &amp; Aitken, S. N. A closer look at novel climates: new methods and insights at continental to landscape scales.</w:t>
      </w:r>
      <w:r>
        <w:t xml:space="preserve"> </w:t>
      </w:r>
      <w:r>
        <w:rPr>
          <w:i/>
          <w:iCs/>
        </w:rPr>
        <w:t xml:space="preserve">Glob. Change Biol.</w:t>
      </w:r>
      <w:r>
        <w:t xml:space="preserve"> </w:t>
      </w:r>
      <w:r>
        <w:rPr>
          <w:b/>
          <w:bCs/>
        </w:rPr>
        <w:t xml:space="preserve">23</w:t>
      </w:r>
      <w:r>
        <w:t xml:space="preserve">, 3934–3955 (2017). https://doi.org/10.1111/gcb.13645</w:t>
      </w:r>
    </w:p>
    <w:p>
      <w:pPr>
        <w:pStyle w:val="Compact"/>
        <w:numPr>
          <w:ilvl w:val="0"/>
          <w:numId w:val="1001"/>
        </w:numPr>
      </w:pPr>
      <w:r>
        <w:t xml:space="preserve">Lundberg, S. M. et al. From local explanations to global understanding with explainable AI for trees.</w:t>
      </w:r>
      <w:r>
        <w:t xml:space="preserve"> </w:t>
      </w:r>
      <w:r>
        <w:rPr>
          <w:i/>
          <w:iCs/>
        </w:rPr>
        <w:t xml:space="preserve">Nat. Mach. Intell.</w:t>
      </w:r>
      <w:r>
        <w:t xml:space="preserve"> </w:t>
      </w:r>
      <w:r>
        <w:rPr>
          <w:b/>
          <w:bCs/>
        </w:rPr>
        <w:t xml:space="preserve">2</w:t>
      </w:r>
      <w:r>
        <w:t xml:space="preserve">, 56–67 (2020). https://doi.org/10.1038/s42256-019-0138-9</w:t>
      </w:r>
    </w:p>
    <w:p>
      <w:pPr>
        <w:pStyle w:val="Compact"/>
        <w:numPr>
          <w:ilvl w:val="0"/>
          <w:numId w:val="1001"/>
        </w:numPr>
      </w:pPr>
      <w:r>
        <w:t xml:space="preserve">Chen, T. &amp; Guestrin, C. XGBoost: a scalable tree boosting system. In</w:t>
      </w:r>
      <w:r>
        <w:t xml:space="preserve"> </w:t>
      </w:r>
      <w:r>
        <w:rPr>
          <w:i/>
          <w:iCs/>
        </w:rPr>
        <w:t xml:space="preserve">Proc. 22nd ACM SIGKDD Int. Conf. Knowledge Discovery and Data Mining</w:t>
      </w:r>
      <w:r>
        <w:t xml:space="preserve"> </w:t>
      </w:r>
      <w:r>
        <w:t xml:space="preserve">785–794 (2016). https://doi.org/10.1145/2939672.2939785</w:t>
      </w:r>
    </w:p>
    <w:p>
      <w:pPr>
        <w:pStyle w:val="Compact"/>
        <w:numPr>
          <w:ilvl w:val="0"/>
          <w:numId w:val="1001"/>
        </w:numPr>
      </w:pPr>
      <w:r>
        <w:t xml:space="preserve">Xing, X. et al. Where are the provincial-level new records in China from the past 20 years?</w:t>
      </w:r>
      <w:r>
        <w:t xml:space="preserve"> </w:t>
      </w:r>
      <w:r>
        <w:rPr>
          <w:i/>
          <w:iCs/>
        </w:rPr>
        <w:t xml:space="preserve">Front. Ecol. Evol.</w:t>
      </w:r>
      <w:r>
        <w:t xml:space="preserve"> </w:t>
      </w:r>
      <w:r>
        <w:rPr>
          <w:b/>
          <w:bCs/>
        </w:rPr>
        <w:t xml:space="preserve">12</w:t>
      </w:r>
      <w:r>
        <w:t xml:space="preserve">, 1415268 (2024). https://doi.org/10.3389/fevo.2024.1415268</w:t>
      </w:r>
    </w:p>
    <w:p>
      <w:pPr>
        <w:pStyle w:val="Compact"/>
        <w:numPr>
          <w:ilvl w:val="0"/>
          <w:numId w:val="1001"/>
        </w:numPr>
      </w:pPr>
      <w:r>
        <w:t xml:space="preserve">Guillera-Arroita, G. Modelling of species distributions, range dynamics and communities under imperfect detection: advances, challenges and opportunities.</w:t>
      </w:r>
      <w:r>
        <w:t xml:space="preserve"> </w:t>
      </w:r>
      <w:r>
        <w:rPr>
          <w:i/>
          <w:iCs/>
        </w:rPr>
        <w:t xml:space="preserve">Ecography</w:t>
      </w:r>
      <w:r>
        <w:t xml:space="preserve"> </w:t>
      </w:r>
      <w:r>
        <w:rPr>
          <w:b/>
          <w:bCs/>
        </w:rPr>
        <w:t xml:space="preserve">40</w:t>
      </w:r>
      <w:r>
        <w:t xml:space="preserve">, 281–295 (2017). https://doi.org/10.1111/ecog.02445</w:t>
      </w:r>
    </w:p>
    <w:p>
      <w:pPr>
        <w:pStyle w:val="Compact"/>
        <w:numPr>
          <w:ilvl w:val="0"/>
          <w:numId w:val="1001"/>
        </w:numPr>
      </w:pPr>
      <w:r>
        <w:t xml:space="preserve">Rumpf, S. B. et al. Range dynamics of mountain plants decrease with elevation.</w:t>
      </w:r>
      <w:r>
        <w:t xml:space="preserve"> </w:t>
      </w:r>
      <w:r>
        <w:rPr>
          <w:i/>
          <w:iCs/>
        </w:rPr>
        <w:t xml:space="preserve">Proc. Natl Acad. Sci. USA</w:t>
      </w:r>
      <w:r>
        <w:t xml:space="preserve"> </w:t>
      </w:r>
      <w:r>
        <w:rPr>
          <w:b/>
          <w:bCs/>
        </w:rPr>
        <w:t xml:space="preserve">115</w:t>
      </w:r>
      <w:r>
        <w:t xml:space="preserve">, 1848–1853 (2018). https://doi.org/10.1073/pnas.1713936115</w:t>
      </w:r>
    </w:p>
    <w:p>
      <w:pPr>
        <w:pStyle w:val="Compact"/>
        <w:numPr>
          <w:ilvl w:val="0"/>
          <w:numId w:val="1001"/>
        </w:numPr>
      </w:pPr>
      <w:r>
        <w:t xml:space="preserve">Freeman, B. G., Scholer, M. N., Ruiz-Gutierrez, V. &amp; Fitzpatrick, J. W. Climate change causes upslope shifts and mountaintop extirpations in a tropical bird community.</w:t>
      </w:r>
      <w:r>
        <w:t xml:space="preserve"> </w:t>
      </w:r>
      <w:r>
        <w:rPr>
          <w:i/>
          <w:iCs/>
        </w:rPr>
        <w:t xml:space="preserve">Proc. Natl Acad. Sci. USA</w:t>
      </w:r>
      <w:r>
        <w:t xml:space="preserve"> </w:t>
      </w:r>
      <w:r>
        <w:rPr>
          <w:b/>
          <w:bCs/>
        </w:rPr>
        <w:t xml:space="preserve">115</w:t>
      </w:r>
      <w:r>
        <w:t xml:space="preserve">, 11982–11987 (2018). https://doi.org/10.1073/pnas.1804224115</w:t>
      </w:r>
    </w:p>
    <w:p>
      <w:pPr>
        <w:pStyle w:val="Compact"/>
        <w:numPr>
          <w:ilvl w:val="0"/>
          <w:numId w:val="1001"/>
        </w:numPr>
      </w:pPr>
      <w:r>
        <w:t xml:space="preserve">Mi, X. et al. The global significance of biodiversity science in China: an overview.</w:t>
      </w:r>
      <w:r>
        <w:t xml:space="preserve"> </w:t>
      </w:r>
      <w:r>
        <w:rPr>
          <w:i/>
          <w:iCs/>
        </w:rPr>
        <w:t xml:space="preserve">Natl Sci. Rev.</w:t>
      </w:r>
      <w:r>
        <w:t xml:space="preserve"> </w:t>
      </w:r>
      <w:r>
        <w:rPr>
          <w:b/>
          <w:bCs/>
        </w:rPr>
        <w:t xml:space="preserve">8</w:t>
      </w:r>
      <w:r>
        <w:t xml:space="preserve">, nwab032 (2021). https://doi.org/10.1093/nsr/nwab032</w:t>
      </w:r>
    </w:p>
    <w:p>
      <w:pPr>
        <w:pStyle w:val="Compact"/>
        <w:numPr>
          <w:ilvl w:val="0"/>
          <w:numId w:val="1001"/>
        </w:numPr>
      </w:pPr>
      <w:r>
        <w:t xml:space="preserve">Amano, T., Lamming, J. D. L. &amp; Sutherland, W. J. Spatial gaps in global biodiversity information and the role of citizen science.</w:t>
      </w:r>
      <w:r>
        <w:t xml:space="preserve"> </w:t>
      </w:r>
      <w:r>
        <w:rPr>
          <w:i/>
          <w:iCs/>
        </w:rPr>
        <w:t xml:space="preserve">BioScience</w:t>
      </w:r>
      <w:r>
        <w:t xml:space="preserve"> </w:t>
      </w:r>
      <w:r>
        <w:rPr>
          <w:b/>
          <w:bCs/>
        </w:rPr>
        <w:t xml:space="preserve">66</w:t>
      </w:r>
      <w:r>
        <w:t xml:space="preserve">, 393–400 (2016). https://doi.org/10.1093/biosci/biw022</w:t>
      </w:r>
    </w:p>
    <w:p>
      <w:pPr>
        <w:pStyle w:val="Compact"/>
        <w:numPr>
          <w:ilvl w:val="0"/>
          <w:numId w:val="1001"/>
        </w:numPr>
      </w:pPr>
      <w:r>
        <w:t xml:space="preserve">Callaghan, C. T., Poore, A. G. B., Major, R. E., Rowley, J. J. L. &amp; Cornwell, W. K. Optimizing future biodiversity sampling by citizen scientists.</w:t>
      </w:r>
      <w:r>
        <w:t xml:space="preserve"> </w:t>
      </w:r>
      <w:r>
        <w:rPr>
          <w:i/>
          <w:iCs/>
        </w:rPr>
        <w:t xml:space="preserve">Proc. R. Soc. B</w:t>
      </w:r>
      <w:r>
        <w:t xml:space="preserve"> </w:t>
      </w:r>
      <w:r>
        <w:rPr>
          <w:b/>
          <w:bCs/>
        </w:rPr>
        <w:t xml:space="preserve">286</w:t>
      </w:r>
      <w:r>
        <w:t xml:space="preserve">, 20191487 (2019). https://doi.org/10.1098/rspb.2019.1487</w:t>
      </w:r>
    </w:p>
    <w:p>
      <w:pPr>
        <w:pStyle w:val="Compact"/>
        <w:numPr>
          <w:ilvl w:val="0"/>
          <w:numId w:val="1001"/>
        </w:numPr>
      </w:pPr>
      <w:r>
        <w:t xml:space="preserve">Kelling, S. et al. Using semistructured surveys to improve citizen science data for monitoring biodiversity.</w:t>
      </w:r>
      <w:r>
        <w:t xml:space="preserve"> </w:t>
      </w:r>
      <w:r>
        <w:rPr>
          <w:i/>
          <w:iCs/>
        </w:rPr>
        <w:t xml:space="preserve">BioScience</w:t>
      </w:r>
      <w:r>
        <w:t xml:space="preserve"> </w:t>
      </w:r>
      <w:r>
        <w:rPr>
          <w:b/>
          <w:bCs/>
        </w:rPr>
        <w:t xml:space="preserve">69</w:t>
      </w:r>
      <w:r>
        <w:t xml:space="preserve">, 170–179 (2019). https://doi.org/10.1093/biosci/biz010</w:t>
      </w:r>
    </w:p>
    <w:p>
      <w:pPr>
        <w:pStyle w:val="Compact"/>
        <w:numPr>
          <w:ilvl w:val="0"/>
          <w:numId w:val="1001"/>
        </w:numPr>
      </w:pPr>
      <w:r>
        <w:t xml:space="preserve">Dickinson, J. L., Zuckerberg, B. &amp; Bonter, D. N. Citizen science as an ecological research tool: challenges and benefits.</w:t>
      </w:r>
      <w:r>
        <w:t xml:space="preserve"> </w:t>
      </w:r>
      <w:r>
        <w:rPr>
          <w:i/>
          <w:iCs/>
        </w:rPr>
        <w:t xml:space="preserve">Annu. Rev. Ecol. Evol. Syst.</w:t>
      </w:r>
      <w:r>
        <w:t xml:space="preserve"> </w:t>
      </w:r>
      <w:r>
        <w:rPr>
          <w:b/>
          <w:bCs/>
        </w:rPr>
        <w:t xml:space="preserve">41</w:t>
      </w:r>
      <w:r>
        <w:t xml:space="preserve">, 149–172 (2010). https://doi.org/10.1146/annurev-ecolsys-102209-144636</w:t>
      </w:r>
    </w:p>
    <w:p>
      <w:pPr>
        <w:pStyle w:val="Compact"/>
        <w:numPr>
          <w:ilvl w:val="0"/>
          <w:numId w:val="1001"/>
        </w:numPr>
      </w:pPr>
      <w:r>
        <w:t xml:space="preserve">Bowler, D. E. et al. Mapping human pressures on biodiversity across the planet uncovers anthropogenic threat complexes.</w:t>
      </w:r>
      <w:r>
        <w:t xml:space="preserve"> </w:t>
      </w:r>
      <w:r>
        <w:rPr>
          <w:i/>
          <w:iCs/>
        </w:rPr>
        <w:t xml:space="preserve">People Nat.</w:t>
      </w:r>
      <w:r>
        <w:t xml:space="preserve"> </w:t>
      </w:r>
      <w:r>
        <w:rPr>
          <w:b/>
          <w:bCs/>
        </w:rPr>
        <w:t xml:space="preserve">2</w:t>
      </w:r>
      <w:r>
        <w:t xml:space="preserve">, 380–394 (2020). https://doi.org/10.1002/pan3.10071</w:t>
      </w:r>
    </w:p>
    <w:p>
      <w:pPr>
        <w:pStyle w:val="Compact"/>
        <w:numPr>
          <w:ilvl w:val="0"/>
          <w:numId w:val="1001"/>
        </w:numPr>
      </w:pPr>
      <w:r>
        <w:t xml:space="preserve">Sunday, J. M., Bates, A. E. &amp; Dulvy, N. K. Thermal tolerance and the global redistribution of animals.</w:t>
      </w:r>
      <w:r>
        <w:t xml:space="preserve"> </w:t>
      </w:r>
      <w:r>
        <w:rPr>
          <w:i/>
          <w:iCs/>
        </w:rPr>
        <w:t xml:space="preserve">Nat. Clim. Change</w:t>
      </w:r>
      <w:r>
        <w:t xml:space="preserve"> </w:t>
      </w:r>
      <w:r>
        <w:rPr>
          <w:b/>
          <w:bCs/>
        </w:rPr>
        <w:t xml:space="preserve">2</w:t>
      </w:r>
      <w:r>
        <w:t xml:space="preserve">, 686–690 (2012). https://doi.org/10.1038/nclimate1539</w:t>
      </w:r>
    </w:p>
    <w:p>
      <w:pPr>
        <w:pStyle w:val="Compact"/>
        <w:numPr>
          <w:ilvl w:val="0"/>
          <w:numId w:val="1001"/>
        </w:numPr>
      </w:pPr>
      <w:r>
        <w:t xml:space="preserve">Guisan, A. &amp; Thuiller, W. Predicting species distribution: offering more than simple habitat models.</w:t>
      </w:r>
      <w:r>
        <w:t xml:space="preserve"> </w:t>
      </w:r>
      <w:r>
        <w:rPr>
          <w:i/>
          <w:iCs/>
        </w:rPr>
        <w:t xml:space="preserve">Ecol. Lett.</w:t>
      </w:r>
      <w:r>
        <w:t xml:space="preserve"> </w:t>
      </w:r>
      <w:r>
        <w:rPr>
          <w:b/>
          <w:bCs/>
        </w:rPr>
        <w:t xml:space="preserve">8</w:t>
      </w:r>
      <w:r>
        <w:t xml:space="preserve">, 993–1009 (2005). https://doi.org/10.1111/j.1461-0248.2005.00792.x</w:t>
      </w:r>
    </w:p>
    <w:p>
      <w:pPr>
        <w:pStyle w:val="Compact"/>
        <w:numPr>
          <w:ilvl w:val="0"/>
          <w:numId w:val="1001"/>
        </w:numPr>
      </w:pPr>
      <w:r>
        <w:t xml:space="preserve">Elith, J., Phillips, S. J., Hastie, T., Dudík, M., Chee, Y. E. &amp; Yates, C. J. A statistical explanation of MaxEnt for ecologists.</w:t>
      </w:r>
      <w:r>
        <w:t xml:space="preserve"> </w:t>
      </w:r>
      <w:r>
        <w:rPr>
          <w:i/>
          <w:iCs/>
        </w:rPr>
        <w:t xml:space="preserve">Divers. Distrib.</w:t>
      </w:r>
      <w:r>
        <w:t xml:space="preserve"> </w:t>
      </w:r>
      <w:r>
        <w:rPr>
          <w:b/>
          <w:bCs/>
        </w:rPr>
        <w:t xml:space="preserve">17</w:t>
      </w:r>
      <w:r>
        <w:t xml:space="preserve">, 43–57 (2011). https://doi.org/10.1111/j.1472-4642.2010.00725.x</w:t>
      </w:r>
    </w:p>
    <w:p>
      <w:pPr>
        <w:pStyle w:val="Compact"/>
        <w:numPr>
          <w:ilvl w:val="0"/>
          <w:numId w:val="1001"/>
        </w:numPr>
      </w:pPr>
      <w:r>
        <w:t xml:space="preserve">Guillera-Arroita, G. et al. Is my species distribution model fit for purpose? Matching data and models to applications.</w:t>
      </w:r>
      <w:r>
        <w:t xml:space="preserve"> </w:t>
      </w:r>
      <w:r>
        <w:rPr>
          <w:i/>
          <w:iCs/>
        </w:rPr>
        <w:t xml:space="preserve">Glob. Ecol. Biogeogr.</w:t>
      </w:r>
      <w:r>
        <w:t xml:space="preserve"> </w:t>
      </w:r>
      <w:r>
        <w:rPr>
          <w:b/>
          <w:bCs/>
        </w:rPr>
        <w:t xml:space="preserve">24</w:t>
      </w:r>
      <w:r>
        <w:t xml:space="preserve">, 276–292 (2015). https://doi.org/10.1111/geb.12268</w:t>
      </w:r>
    </w:p>
    <w:p>
      <w:pPr>
        <w:pStyle w:val="Compact"/>
        <w:numPr>
          <w:ilvl w:val="0"/>
          <w:numId w:val="1001"/>
        </w:numPr>
      </w:pPr>
      <w:r>
        <w:t xml:space="preserve">Phillips, S. J. et al. Sample selection bias and presence-only distribution models: implications for background and pseudo-absence data.</w:t>
      </w:r>
      <w:r>
        <w:t xml:space="preserve"> </w:t>
      </w:r>
      <w:r>
        <w:rPr>
          <w:i/>
          <w:iCs/>
        </w:rPr>
        <w:t xml:space="preserve">Ecol. Appl.</w:t>
      </w:r>
      <w:r>
        <w:t xml:space="preserve"> </w:t>
      </w:r>
      <w:r>
        <w:rPr>
          <w:b/>
          <w:bCs/>
        </w:rPr>
        <w:t xml:space="preserve">19</w:t>
      </w:r>
      <w:r>
        <w:t xml:space="preserve">, 181–197 (2009). https://doi.org/10.1890/07-2153.1</w:t>
      </w:r>
    </w:p>
    <w:p>
      <w:pPr>
        <w:pStyle w:val="Compact"/>
        <w:numPr>
          <w:ilvl w:val="0"/>
          <w:numId w:val="1001"/>
        </w:numPr>
      </w:pPr>
      <w:r>
        <w:t xml:space="preserve">Johnston, A. et al. Analytical guidelines to increase the value of community science data: an example using eBird data to estimate species distributions.</w:t>
      </w:r>
      <w:r>
        <w:t xml:space="preserve"> </w:t>
      </w:r>
      <w:r>
        <w:rPr>
          <w:i/>
          <w:iCs/>
        </w:rPr>
        <w:t xml:space="preserve">Divers. Distrib.</w:t>
      </w:r>
      <w:r>
        <w:t xml:space="preserve"> </w:t>
      </w:r>
      <w:r>
        <w:rPr>
          <w:b/>
          <w:bCs/>
        </w:rPr>
        <w:t xml:space="preserve">27</w:t>
      </w:r>
      <w:r>
        <w:t xml:space="preserve">, 1265–1277 (2021). https://doi.org/10.1111/ddi.13271</w:t>
      </w:r>
    </w:p>
    <w:p>
      <w:pPr>
        <w:pStyle w:val="Compact"/>
        <w:numPr>
          <w:ilvl w:val="0"/>
          <w:numId w:val="1001"/>
        </w:numPr>
      </w:pPr>
      <w:r>
        <w:t xml:space="preserve">Harris, I., Osborn, T. J., Jones, P. &amp; Lister, D. Version 4 of the CRU TS monthly high-resolution gridded multivariate climate dataset.</w:t>
      </w:r>
      <w:r>
        <w:t xml:space="preserve"> </w:t>
      </w:r>
      <w:r>
        <w:rPr>
          <w:i/>
          <w:iCs/>
        </w:rPr>
        <w:t xml:space="preserve">Sci. Data</w:t>
      </w:r>
      <w:r>
        <w:t xml:space="preserve"> </w:t>
      </w:r>
      <w:r>
        <w:rPr>
          <w:b/>
          <w:bCs/>
        </w:rPr>
        <w:t xml:space="preserve">7</w:t>
      </w:r>
      <w:r>
        <w:t xml:space="preserve">, 109 (2020). https://doi.org/10.1038/s41597-020-0453-3</w:t>
      </w:r>
    </w:p>
    <w:p>
      <w:pPr>
        <w:pStyle w:val="Compact"/>
        <w:numPr>
          <w:ilvl w:val="0"/>
          <w:numId w:val="1001"/>
        </w:numPr>
      </w:pPr>
      <w:r>
        <w:t xml:space="preserve">Fick, S. E. &amp; Hijmans, R. J. WorldClim 2: new 1-km spatial resolution climate surfaces for global land areas.</w:t>
      </w:r>
      <w:r>
        <w:t xml:space="preserve"> </w:t>
      </w:r>
      <w:r>
        <w:rPr>
          <w:i/>
          <w:iCs/>
        </w:rPr>
        <w:t xml:space="preserve">Int. J. Climatol.</w:t>
      </w:r>
      <w:r>
        <w:t xml:space="preserve"> </w:t>
      </w:r>
      <w:r>
        <w:rPr>
          <w:b/>
          <w:bCs/>
        </w:rPr>
        <w:t xml:space="preserve">37</w:t>
      </w:r>
      <w:r>
        <w:t xml:space="preserve">, 4302–4315 (2017). https://doi.org/10.1002/joc.5086</w:t>
      </w:r>
    </w:p>
    <w:p>
      <w:pPr>
        <w:pStyle w:val="Compact"/>
        <w:numPr>
          <w:ilvl w:val="0"/>
          <w:numId w:val="1001"/>
        </w:numPr>
      </w:pPr>
      <w:r>
        <w:t xml:space="preserve">Brooks, M. E. et al. glmmTMB balances speed and flexibility among packages for zero-inflated generalized linear mixed modeling.</w:t>
      </w:r>
      <w:r>
        <w:t xml:space="preserve"> </w:t>
      </w:r>
      <w:r>
        <w:rPr>
          <w:i/>
          <w:iCs/>
        </w:rPr>
        <w:t xml:space="preserve">R J.</w:t>
      </w:r>
      <w:r>
        <w:t xml:space="preserve"> </w:t>
      </w:r>
      <w:r>
        <w:rPr>
          <w:b/>
          <w:bCs/>
        </w:rPr>
        <w:t xml:space="preserve">9</w:t>
      </w:r>
      <w:r>
        <w:t xml:space="preserve">, 378–400 (2017). https://doi.org/10.32614/RJ-2017-066</w:t>
      </w:r>
    </w:p>
    <w:p>
      <w:pPr>
        <w:pStyle w:val="Compact"/>
        <w:numPr>
          <w:ilvl w:val="0"/>
          <w:numId w:val="1001"/>
        </w:numPr>
      </w:pPr>
      <w:r>
        <w:t xml:space="preserve">Nakagawa, S. &amp; Schielzeth, H. A general and simple method for obtaining</w:t>
      </w:r>
      <w:r>
        <w:t xml:space="preserve"> </w:t>
      </w:r>
      <w:r>
        <w:rPr>
          <w:i/>
          <w:iCs/>
        </w:rPr>
        <w:t xml:space="preserve">R</w:t>
      </w:r>
      <w:r>
        <w:t xml:space="preserve">² from generalized linear mixed-effects models.</w:t>
      </w:r>
      <w:r>
        <w:t xml:space="preserve"> </w:t>
      </w:r>
      <w:r>
        <w:rPr>
          <w:i/>
          <w:iCs/>
        </w:rPr>
        <w:t xml:space="preserve">Methods Ecol. Evol.</w:t>
      </w:r>
      <w:r>
        <w:t xml:space="preserve"> </w:t>
      </w:r>
      <w:r>
        <w:rPr>
          <w:b/>
          <w:bCs/>
        </w:rPr>
        <w:t xml:space="preserve">4</w:t>
      </w:r>
      <w:r>
        <w:t xml:space="preserve">, 133–142 (2013). https://doi.org/10.1111/j.2041-210x.2012.00261.x</w:t>
      </w:r>
    </w:p>
    <w:p>
      <w:pPr>
        <w:pStyle w:val="Compact"/>
        <w:numPr>
          <w:ilvl w:val="0"/>
          <w:numId w:val="1001"/>
        </w:numPr>
      </w:pPr>
      <w:r>
        <w:t xml:space="preserve">Pebesma, E. Simple Features for R: standardized support for spatial vector data.</w:t>
      </w:r>
      <w:r>
        <w:t xml:space="preserve"> </w:t>
      </w:r>
      <w:r>
        <w:rPr>
          <w:i/>
          <w:iCs/>
        </w:rPr>
        <w:t xml:space="preserve">R J.</w:t>
      </w:r>
      <w:r>
        <w:t xml:space="preserve"> </w:t>
      </w:r>
      <w:r>
        <w:rPr>
          <w:b/>
          <w:bCs/>
        </w:rPr>
        <w:t xml:space="preserve">10</w:t>
      </w:r>
      <w:r>
        <w:t xml:space="preserve">, 439–446 (2018). https://doi.org/10.32614/RJ-2018-009</w:t>
      </w:r>
    </w:p>
    <w:p>
      <w:pPr>
        <w:pStyle w:val="Compact"/>
        <w:numPr>
          <w:ilvl w:val="0"/>
          <w:numId w:val="1001"/>
        </w:numPr>
      </w:pPr>
      <w:r>
        <w:t xml:space="preserve">Lenoir, J. et al. Species better track climate warming in the oceans than on land.</w:t>
      </w:r>
      <w:r>
        <w:t xml:space="preserve"> </w:t>
      </w:r>
      <w:r>
        <w:rPr>
          <w:i/>
          <w:iCs/>
        </w:rPr>
        <w:t xml:space="preserve">Nat. Ecol. Evol.</w:t>
      </w:r>
      <w:r>
        <w:t xml:space="preserve"> </w:t>
      </w:r>
      <w:r>
        <w:rPr>
          <w:b/>
          <w:bCs/>
        </w:rPr>
        <w:t xml:space="preserve">4</w:t>
      </w:r>
      <w:r>
        <w:t xml:space="preserve">, 1044–1059 (2020). https://doi.org/10.1038/s41559-020-1198-2</w:t>
      </w:r>
    </w:p>
    <w:p>
      <w:pPr>
        <w:pStyle w:val="Compact"/>
        <w:numPr>
          <w:ilvl w:val="0"/>
          <w:numId w:val="1001"/>
        </w:numPr>
      </w:pPr>
      <w:r>
        <w:t xml:space="preserve">Scheffers, B. R. et al. The broad footprint of climate change from genes to biomes to people.</w:t>
      </w:r>
      <w:r>
        <w:t xml:space="preserve"> </w:t>
      </w:r>
      <w:r>
        <w:rPr>
          <w:i/>
          <w:iCs/>
        </w:rPr>
        <w:t xml:space="preserve">Science</w:t>
      </w:r>
      <w:r>
        <w:t xml:space="preserve"> </w:t>
      </w:r>
      <w:r>
        <w:rPr>
          <w:b/>
          <w:bCs/>
        </w:rPr>
        <w:t xml:space="preserve">354</w:t>
      </w:r>
      <w:r>
        <w:t xml:space="preserve">, aaf7671 (2016). https://doi.org/10.1126/science.aaf7671</w:t>
      </w:r>
    </w:p>
    <w:p>
      <w:pPr>
        <w:pStyle w:val="Compact"/>
        <w:numPr>
          <w:ilvl w:val="0"/>
          <w:numId w:val="1001"/>
        </w:numPr>
      </w:pPr>
      <w:r>
        <w:t xml:space="preserve">Román-Palacios, C. &amp; Wiens, J. J. Recent responses to climate change reveal the drivers of species extinction and survival.</w:t>
      </w:r>
      <w:r>
        <w:t xml:space="preserve"> </w:t>
      </w:r>
      <w:r>
        <w:rPr>
          <w:i/>
          <w:iCs/>
        </w:rPr>
        <w:t xml:space="preserve">Proc. Natl Acad. Sci. USA</w:t>
      </w:r>
      <w:r>
        <w:t xml:space="preserve"> </w:t>
      </w:r>
      <w:r>
        <w:rPr>
          <w:b/>
          <w:bCs/>
        </w:rPr>
        <w:t xml:space="preserve">117</w:t>
      </w:r>
      <w:r>
        <w:t xml:space="preserve">, 4211–4217 (2020). https://doi.org/10.1073/pnas.1913007117</w:t>
      </w:r>
    </w:p>
    <w:p>
      <w:pPr>
        <w:pStyle w:val="Compact"/>
        <w:numPr>
          <w:ilvl w:val="0"/>
          <w:numId w:val="1001"/>
        </w:numPr>
      </w:pPr>
      <w:r>
        <w:t xml:space="preserve">Lehikoinen, A. et al. Declining population trends of European mountain birds.</w:t>
      </w:r>
      <w:r>
        <w:t xml:space="preserve"> </w:t>
      </w:r>
      <w:r>
        <w:rPr>
          <w:i/>
          <w:iCs/>
        </w:rPr>
        <w:t xml:space="preserve">Glob. Change Biol.</w:t>
      </w:r>
      <w:r>
        <w:t xml:space="preserve"> </w:t>
      </w:r>
      <w:r>
        <w:rPr>
          <w:b/>
          <w:bCs/>
        </w:rPr>
        <w:t xml:space="preserve">25</w:t>
      </w:r>
      <w:r>
        <w:t xml:space="preserve">, 577–588 (2019). https://doi.org/10.1111/gcb.14522</w:t>
      </w:r>
    </w:p>
    <w:p>
      <w:pPr>
        <w:pStyle w:val="Compact"/>
        <w:numPr>
          <w:ilvl w:val="0"/>
          <w:numId w:val="1001"/>
        </w:numPr>
      </w:pPr>
      <w:r>
        <w:t xml:space="preserve">Rosenberg, K. V. et al. Decline of the North American avifauna.</w:t>
      </w:r>
      <w:r>
        <w:t xml:space="preserve"> </w:t>
      </w:r>
      <w:r>
        <w:rPr>
          <w:i/>
          <w:iCs/>
        </w:rPr>
        <w:t xml:space="preserve">Science</w:t>
      </w:r>
      <w:r>
        <w:t xml:space="preserve"> </w:t>
      </w:r>
      <w:r>
        <w:rPr>
          <w:b/>
          <w:bCs/>
        </w:rPr>
        <w:t xml:space="preserve">366</w:t>
      </w:r>
      <w:r>
        <w:t xml:space="preserve">, 120–124 (2019). https://doi.org/10.1126/science.aaw1313</w:t>
      </w:r>
    </w:p>
    <w:p>
      <w:pPr>
        <w:pStyle w:val="Compact"/>
        <w:numPr>
          <w:ilvl w:val="0"/>
          <w:numId w:val="1001"/>
        </w:numPr>
      </w:pPr>
      <w:r>
        <w:t xml:space="preserve">van Strien, A. J., van Swaay, C. A. M. &amp; Termaat, T. Opportunistic citizen science data of animal species produce reliable estimates of distribution trends if analysed with occupancy models.</w:t>
      </w:r>
      <w:r>
        <w:t xml:space="preserve"> </w:t>
      </w:r>
      <w:r>
        <w:rPr>
          <w:i/>
          <w:iCs/>
        </w:rPr>
        <w:t xml:space="preserve">J. Appl. Ecol.</w:t>
      </w:r>
      <w:r>
        <w:t xml:space="preserve"> </w:t>
      </w:r>
      <w:r>
        <w:rPr>
          <w:b/>
          <w:bCs/>
        </w:rPr>
        <w:t xml:space="preserve">50</w:t>
      </w:r>
      <w:r>
        <w:t xml:space="preserve">, 1450–1458 (2013). https://doi.org/10.1111/1365-2664.12158</w:t>
      </w:r>
    </w:p>
    <w:p>
      <w:pPr>
        <w:pStyle w:val="Compact"/>
        <w:numPr>
          <w:ilvl w:val="0"/>
          <w:numId w:val="1001"/>
        </w:numPr>
      </w:pPr>
      <w:r>
        <w:t xml:space="preserve">Kéry, M., Royle, J. A., Schmid, H. et al. Importance of sampling design and analysis in animal population studies.</w:t>
      </w:r>
      <w:r>
        <w:t xml:space="preserve"> </w:t>
      </w:r>
      <w:r>
        <w:rPr>
          <w:i/>
          <w:iCs/>
        </w:rPr>
        <w:t xml:space="preserve">J. Appl. Ecol.</w:t>
      </w:r>
      <w:r>
        <w:t xml:space="preserve"> </w:t>
      </w:r>
      <w:r>
        <w:rPr>
          <w:b/>
          <w:bCs/>
        </w:rPr>
        <w:t xml:space="preserve">45</w:t>
      </w:r>
      <w:r>
        <w:t xml:space="preserve">, 981–986 (2008). https://doi.org/10.1111/j.1365-2664.2007.01421.x</w:t>
      </w:r>
    </w:p>
    <w:p>
      <w:pPr>
        <w:pStyle w:val="Compact"/>
        <w:numPr>
          <w:ilvl w:val="0"/>
          <w:numId w:val="1001"/>
        </w:numPr>
      </w:pPr>
      <w:r>
        <w:t xml:space="preserve">Steen, V. A., Elphick, C. S. &amp; Tingley, M. W. An evaluation of stringent filtering to improve species distribution models from citizen science data.</w:t>
      </w:r>
      <w:r>
        <w:t xml:space="preserve"> </w:t>
      </w:r>
      <w:r>
        <w:rPr>
          <w:i/>
          <w:iCs/>
        </w:rPr>
        <w:t xml:space="preserve">Divers. Distrib.</w:t>
      </w:r>
      <w:r>
        <w:t xml:space="preserve"> </w:t>
      </w:r>
      <w:r>
        <w:rPr>
          <w:b/>
          <w:bCs/>
        </w:rPr>
        <w:t xml:space="preserve">25</w:t>
      </w:r>
      <w:r>
        <w:t xml:space="preserve">, 1857–1869 (2019). https://doi.org/10.1111/ddi.12985</w:t>
      </w:r>
    </w:p>
    <w:p>
      <w:pPr>
        <w:pStyle w:val="Compact"/>
        <w:numPr>
          <w:ilvl w:val="0"/>
          <w:numId w:val="1001"/>
        </w:numPr>
      </w:pPr>
      <w:r>
        <w:t xml:space="preserve">Fink, D. et al. Modeling avian full annual cycle distribution and population trends with citizen science data.</w:t>
      </w:r>
      <w:r>
        <w:t xml:space="preserve"> </w:t>
      </w:r>
      <w:r>
        <w:rPr>
          <w:i/>
          <w:iCs/>
        </w:rPr>
        <w:t xml:space="preserve">Ecol. Appl.</w:t>
      </w:r>
      <w:r>
        <w:t xml:space="preserve"> </w:t>
      </w:r>
      <w:r>
        <w:rPr>
          <w:b/>
          <w:bCs/>
        </w:rPr>
        <w:t xml:space="preserve">30</w:t>
      </w:r>
      <w:r>
        <w:t xml:space="preserve">, e02056 (2020). https://doi.org/10.1002/eap.2056</w:t>
      </w:r>
    </w:p>
    <w:p>
      <w:pPr>
        <w:pStyle w:val="Compact"/>
        <w:numPr>
          <w:ilvl w:val="0"/>
          <w:numId w:val="1001"/>
        </w:numPr>
      </w:pPr>
      <w:r>
        <w:t xml:space="preserve">Zizka, A. et al. CoordinateCleaner: standardized cleaning of occurrence records from biological collection databases.</w:t>
      </w:r>
      <w:r>
        <w:t xml:space="preserve"> </w:t>
      </w:r>
      <w:r>
        <w:rPr>
          <w:i/>
          <w:iCs/>
        </w:rPr>
        <w:t xml:space="preserve">Methods Ecol. Evol.</w:t>
      </w:r>
      <w:r>
        <w:t xml:space="preserve"> </w:t>
      </w:r>
      <w:r>
        <w:rPr>
          <w:b/>
          <w:bCs/>
        </w:rPr>
        <w:t xml:space="preserve">10</w:t>
      </w:r>
      <w:r>
        <w:t xml:space="preserve">, 744–751 (2019). https://doi.org/10.1111/2041-210X.13152</w:t>
      </w:r>
    </w:p>
    <w:p>
      <w:pPr>
        <w:pStyle w:val="Compact"/>
        <w:numPr>
          <w:ilvl w:val="0"/>
          <w:numId w:val="1001"/>
        </w:numPr>
      </w:pPr>
      <w:r>
        <w:t xml:space="preserve">Bird, T. J. et al. Statistical solutions for error and bias in global citizen science datasets.</w:t>
      </w:r>
      <w:r>
        <w:t xml:space="preserve"> </w:t>
      </w:r>
      <w:r>
        <w:rPr>
          <w:i/>
          <w:iCs/>
        </w:rPr>
        <w:t xml:space="preserve">Biol. Conserv.</w:t>
      </w:r>
      <w:r>
        <w:t xml:space="preserve"> </w:t>
      </w:r>
      <w:r>
        <w:rPr>
          <w:b/>
          <w:bCs/>
        </w:rPr>
        <w:t xml:space="preserve">173</w:t>
      </w:r>
      <w:r>
        <w:t xml:space="preserve">, 144–154 (2014). https://doi.org/10.1016/j.biocon.2013.07.037</w:t>
      </w:r>
    </w:p>
    <w:p>
      <w:pPr>
        <w:pStyle w:val="Compact"/>
        <w:numPr>
          <w:ilvl w:val="0"/>
          <w:numId w:val="1001"/>
        </w:numPr>
      </w:pPr>
      <w:r>
        <w:t xml:space="preserve">Sofaer, H. R. et al. Development and delivery of species distribution models to inform decision-making.</w:t>
      </w:r>
      <w:r>
        <w:t xml:space="preserve"> </w:t>
      </w:r>
      <w:r>
        <w:rPr>
          <w:i/>
          <w:iCs/>
        </w:rPr>
        <w:t xml:space="preserve">BioScience</w:t>
      </w:r>
      <w:r>
        <w:t xml:space="preserve"> </w:t>
      </w:r>
      <w:r>
        <w:rPr>
          <w:b/>
          <w:bCs/>
        </w:rPr>
        <w:t xml:space="preserve">69</w:t>
      </w:r>
      <w:r>
        <w:t xml:space="preserve">, 544–557 (2019). https://doi.org/10.1093/biosci/biz045</w:t>
      </w:r>
    </w:p>
    <w:p>
      <w:pPr>
        <w:pStyle w:val="Compact"/>
        <w:numPr>
          <w:ilvl w:val="0"/>
          <w:numId w:val="1001"/>
        </w:numPr>
      </w:pPr>
      <w:r>
        <w:t xml:space="preserve">Hurlbert, A. H. &amp; Liang, Z. Spatiotemporal variation in avian migration phenology: citizen science reveals effects of climate change.</w:t>
      </w:r>
      <w:r>
        <w:t xml:space="preserve"> </w:t>
      </w:r>
      <w:r>
        <w:rPr>
          <w:i/>
          <w:iCs/>
        </w:rPr>
        <w:t xml:space="preserve">PLoS ONE</w:t>
      </w:r>
      <w:r>
        <w:t xml:space="preserve"> </w:t>
      </w:r>
      <w:r>
        <w:rPr>
          <w:b/>
          <w:bCs/>
        </w:rPr>
        <w:t xml:space="preserve">7</w:t>
      </w:r>
      <w:r>
        <w:t xml:space="preserve">, e31662 (2012). https://doi.org/10.1371/journal.pone.0031662</w:t>
      </w:r>
    </w:p>
    <w:p>
      <w:pPr>
        <w:pStyle w:val="Compact"/>
        <w:numPr>
          <w:ilvl w:val="0"/>
          <w:numId w:val="1001"/>
        </w:numPr>
      </w:pPr>
      <w:r>
        <w:t xml:space="preserve">Thomas, C. D. Climate, climate change and range boundaries.</w:t>
      </w:r>
      <w:r>
        <w:t xml:space="preserve"> </w:t>
      </w:r>
      <w:r>
        <w:rPr>
          <w:i/>
          <w:iCs/>
        </w:rPr>
        <w:t xml:space="preserve">Divers. Distrib.</w:t>
      </w:r>
      <w:r>
        <w:t xml:space="preserve"> </w:t>
      </w:r>
      <w:r>
        <w:rPr>
          <w:b/>
          <w:bCs/>
        </w:rPr>
        <w:t xml:space="preserve">16</w:t>
      </w:r>
      <w:r>
        <w:t xml:space="preserve">, 488–495 (2010). https://doi.org/10.1111/j.1472-4642.2010.00642.x</w:t>
      </w:r>
    </w:p>
    <w:p>
      <w:pPr>
        <w:pStyle w:val="Compact"/>
        <w:numPr>
          <w:ilvl w:val="0"/>
          <w:numId w:val="1001"/>
        </w:numPr>
      </w:pPr>
      <w:r>
        <w:t xml:space="preserve">Allison, P. D. Discrete-time methods for the analysis of event histories.</w:t>
      </w:r>
      <w:r>
        <w:t xml:space="preserve"> </w:t>
      </w:r>
      <w:r>
        <w:rPr>
          <w:i/>
          <w:iCs/>
        </w:rPr>
        <w:t xml:space="preserve">Sociol. Methodol.</w:t>
      </w:r>
      <w:r>
        <w:t xml:space="preserve"> </w:t>
      </w:r>
      <w:r>
        <w:rPr>
          <w:b/>
          <w:bCs/>
        </w:rPr>
        <w:t xml:space="preserve">13</w:t>
      </w:r>
      <w:r>
        <w:t xml:space="preserve">, 61–98 (1982). https://doi.org/10.2307/270718</w:t>
      </w:r>
    </w:p>
    <w:p>
      <w:pPr>
        <w:pStyle w:val="Compact"/>
        <w:numPr>
          <w:ilvl w:val="0"/>
          <w:numId w:val="1001"/>
        </w:numPr>
      </w:pPr>
      <w:r>
        <w:t xml:space="preserve">Singer, J. D. &amp; Willett, J. B. It’s about time: using discrete-time survival analysis to study duration and the timing of events.</w:t>
      </w:r>
      <w:r>
        <w:t xml:space="preserve"> </w:t>
      </w:r>
      <w:r>
        <w:rPr>
          <w:i/>
          <w:iCs/>
        </w:rPr>
        <w:t xml:space="preserve">J. Educ. Stat.</w:t>
      </w:r>
      <w:r>
        <w:t xml:space="preserve"> </w:t>
      </w:r>
      <w:r>
        <w:rPr>
          <w:b/>
          <w:bCs/>
        </w:rPr>
        <w:t xml:space="preserve">18</w:t>
      </w:r>
      <w:r>
        <w:t xml:space="preserve">, 155–195 (1993). https://doi.org/10.3102/10769986018002155</w:t>
      </w:r>
    </w:p>
    <w:p>
      <w:pPr>
        <w:pStyle w:val="Compact"/>
        <w:numPr>
          <w:ilvl w:val="0"/>
          <w:numId w:val="1001"/>
        </w:numPr>
      </w:pPr>
      <w:r>
        <w:t xml:space="preserve">Elith, J., Kearney, M. &amp; Phillips, S. The art of modelling range-shifting species.</w:t>
      </w:r>
      <w:r>
        <w:t xml:space="preserve"> </w:t>
      </w:r>
      <w:r>
        <w:rPr>
          <w:i/>
          <w:iCs/>
        </w:rPr>
        <w:t xml:space="preserve">Methods Ecol. Evol.</w:t>
      </w:r>
      <w:r>
        <w:t xml:space="preserve"> </w:t>
      </w:r>
      <w:r>
        <w:rPr>
          <w:b/>
          <w:bCs/>
        </w:rPr>
        <w:t xml:space="preserve">1</w:t>
      </w:r>
      <w:r>
        <w:t xml:space="preserve">, 330–342 (2010). https://doi.org/10.1111/j.2041-210X.2010.00036.x</w:t>
      </w:r>
    </w:p>
    <w:p>
      <w:pPr>
        <w:pStyle w:val="Compact"/>
        <w:numPr>
          <w:ilvl w:val="0"/>
          <w:numId w:val="1001"/>
        </w:numPr>
      </w:pPr>
      <w:r>
        <w:t xml:space="preserve">Zurell, D., Elith, J. &amp; Schröder, B. Predicting to new environments: tools for visualizing model behaviour and impacts on mapped distributions.</w:t>
      </w:r>
      <w:r>
        <w:t xml:space="preserve"> </w:t>
      </w:r>
      <w:r>
        <w:rPr>
          <w:i/>
          <w:iCs/>
        </w:rPr>
        <w:t xml:space="preserve">Divers. Distrib.</w:t>
      </w:r>
      <w:r>
        <w:t xml:space="preserve"> </w:t>
      </w:r>
      <w:r>
        <w:rPr>
          <w:b/>
          <w:bCs/>
        </w:rPr>
        <w:t xml:space="preserve">18</w:t>
      </w:r>
      <w:r>
        <w:t xml:space="preserve">, 628–634 (2012). https://doi.org/10.1111/j.1472-4642.2012.00887.x</w:t>
      </w:r>
    </w:p>
    <w:p>
      <w:pPr>
        <w:pStyle w:val="Compact"/>
        <w:numPr>
          <w:ilvl w:val="0"/>
          <w:numId w:val="1001"/>
        </w:numPr>
      </w:pPr>
      <w:r>
        <w:t xml:space="preserve">Mesgaran, M. B., Cousens, R. D. &amp; Webber, B. L. Here be dragons: a tool for quantifying novelty due to covariate range and correlation change when projecting species distribution models.</w:t>
      </w:r>
      <w:r>
        <w:t xml:space="preserve"> </w:t>
      </w:r>
      <w:r>
        <w:rPr>
          <w:i/>
          <w:iCs/>
        </w:rPr>
        <w:t xml:space="preserve">Divers. Distrib.</w:t>
      </w:r>
      <w:r>
        <w:t xml:space="preserve"> </w:t>
      </w:r>
      <w:r>
        <w:rPr>
          <w:b/>
          <w:bCs/>
        </w:rPr>
        <w:t xml:space="preserve">20</w:t>
      </w:r>
      <w:r>
        <w:t xml:space="preserve">, 1147–1159 (2014). https://doi.org/10.1111/ddi.12209</w:t>
      </w:r>
    </w:p>
    <w:p>
      <w:pPr>
        <w:pStyle w:val="Compact"/>
        <w:numPr>
          <w:ilvl w:val="0"/>
          <w:numId w:val="1001"/>
        </w:numPr>
      </w:pPr>
      <w:r>
        <w:t xml:space="preserve">Yates, K. L. et al. Outstanding challenges in the transferability of ecological models.</w:t>
      </w:r>
      <w:r>
        <w:t xml:space="preserve"> </w:t>
      </w:r>
      <w:r>
        <w:rPr>
          <w:i/>
          <w:iCs/>
        </w:rPr>
        <w:t xml:space="preserve">Trends Ecol. Evol.</w:t>
      </w:r>
      <w:r>
        <w:t xml:space="preserve"> </w:t>
      </w:r>
      <w:r>
        <w:rPr>
          <w:b/>
          <w:bCs/>
        </w:rPr>
        <w:t xml:space="preserve">33</w:t>
      </w:r>
      <w:r>
        <w:t xml:space="preserve">, 790–802 (2018). https://doi.org/10.1016/j.tree.2018.08.001</w:t>
      </w:r>
    </w:p>
    <w:p>
      <w:pPr>
        <w:pStyle w:val="Compact"/>
        <w:numPr>
          <w:ilvl w:val="0"/>
          <w:numId w:val="1001"/>
        </w:numPr>
      </w:pPr>
      <w:r>
        <w:t xml:space="preserve">Hartig, F. DHARMa: residual diagnostics for hierarchical (multi-level/mixed) regression models. R package version 0.4 (2024). https://CRAN.R-project.org/package=DHARMa</w:t>
      </w:r>
    </w:p>
    <w:p>
      <w:pPr>
        <w:pStyle w:val="Compact"/>
        <w:numPr>
          <w:ilvl w:val="0"/>
          <w:numId w:val="1001"/>
        </w:numPr>
      </w:pPr>
      <w:r>
        <w:t xml:space="preserve">Barr, D. J., Levy, R., Scheepers, C. &amp; Tily, H. J. Random effects structure for confirmatory hypothesis testing: keep it maximal.</w:t>
      </w:r>
      <w:r>
        <w:t xml:space="preserve"> </w:t>
      </w:r>
      <w:r>
        <w:rPr>
          <w:i/>
          <w:iCs/>
        </w:rPr>
        <w:t xml:space="preserve">J. Mem. Lang.</w:t>
      </w:r>
      <w:r>
        <w:t xml:space="preserve"> </w:t>
      </w:r>
      <w:r>
        <w:rPr>
          <w:b/>
          <w:bCs/>
        </w:rPr>
        <w:t xml:space="preserve">68</w:t>
      </w:r>
      <w:r>
        <w:t xml:space="preserve">, 255–278 (2013). https://doi.org/10.1016/j.jml.2012.11.001</w:t>
      </w:r>
    </w:p>
    <w:p>
      <w:pPr>
        <w:pStyle w:val="Compact"/>
        <w:numPr>
          <w:ilvl w:val="0"/>
          <w:numId w:val="1001"/>
        </w:numPr>
      </w:pPr>
      <w:r>
        <w:t xml:space="preserve">Schielzeth, H. &amp; Forstmeier, W. Conclusions beyond support: overconfident estimates in mixed models.</w:t>
      </w:r>
      <w:r>
        <w:t xml:space="preserve"> </w:t>
      </w:r>
      <w:r>
        <w:rPr>
          <w:i/>
          <w:iCs/>
        </w:rPr>
        <w:t xml:space="preserve">Behav. Ecol.</w:t>
      </w:r>
      <w:r>
        <w:t xml:space="preserve"> </w:t>
      </w:r>
      <w:r>
        <w:rPr>
          <w:b/>
          <w:bCs/>
        </w:rPr>
        <w:t xml:space="preserve">20</w:t>
      </w:r>
      <w:r>
        <w:t xml:space="preserve">, 416–420 (2009). https://doi.org/10.1093/beheco/arn145</w:t>
      </w:r>
    </w:p>
    <w:p>
      <w:pPr>
        <w:pStyle w:val="Compact"/>
        <w:numPr>
          <w:ilvl w:val="0"/>
          <w:numId w:val="1001"/>
        </w:numPr>
      </w:pPr>
      <w:r>
        <w:t xml:space="preserve">Tredennick, A. T., Hooker, G., Ellner, S. P. &amp; Adler, P. B. A practical guide to selecting models for exploration, inference, and prediction in ecology.</w:t>
      </w:r>
      <w:r>
        <w:t xml:space="preserve"> </w:t>
      </w:r>
      <w:r>
        <w:rPr>
          <w:i/>
          <w:iCs/>
        </w:rPr>
        <w:t xml:space="preserve">Ecology</w:t>
      </w:r>
      <w:r>
        <w:t xml:space="preserve"> </w:t>
      </w:r>
      <w:r>
        <w:rPr>
          <w:b/>
          <w:bCs/>
        </w:rPr>
        <w:t xml:space="preserve">102</w:t>
      </w:r>
      <w:r>
        <w:t xml:space="preserve">, e03336 (2021). https://doi.org/10.1002/ecy.3336</w:t>
      </w:r>
    </w:p>
    <w:p>
      <w:pPr>
        <w:pStyle w:val="Compact"/>
        <w:numPr>
          <w:ilvl w:val="0"/>
          <w:numId w:val="1001"/>
        </w:numPr>
      </w:pPr>
      <w:r>
        <w:t xml:space="preserve">Mundlak, Y. On the pooling of time series and cross section data.</w:t>
      </w:r>
      <w:r>
        <w:t xml:space="preserve"> </w:t>
      </w:r>
      <w:r>
        <w:rPr>
          <w:i/>
          <w:iCs/>
        </w:rPr>
        <w:t xml:space="preserve">Econometrica</w:t>
      </w:r>
      <w:r>
        <w:t xml:space="preserve"> </w:t>
      </w:r>
      <w:r>
        <w:rPr>
          <w:b/>
          <w:bCs/>
        </w:rPr>
        <w:t xml:space="preserve">46</w:t>
      </w:r>
      <w:r>
        <w:t xml:space="preserve">, 69–85 (1978). https://doi.org/10.2307/1913646</w:t>
      </w:r>
    </w:p>
    <w:p>
      <w:pPr>
        <w:pStyle w:val="FirstParagraph"/>
      </w:pPr>
      <w:r>
        <w:rPr>
          <w:i/>
          <w:iCs/>
        </w:rPr>
        <w:t xml:space="preserve">In-text superscripts [A1]–[A6] refer to references 72, 73, 74, 76, 77 and 78 respectively. All digital object identifiers were verified against Crossref on 26 July 2026. Reference 25 is a companion data descriptor currently under review and will be updated on acceptance.</w:t>
      </w:r>
    </w:p>
    <w:p>
      <w:r>
        <w:pict>
          <v:rect style="width:0;height:1.5pt" o:hralign="center" o:hrstd="t" o:hr="t"/>
        </w:pict>
      </w:r>
    </w:p>
    <w:bookmarkEnd w:id="27"/>
    <w:bookmarkStart w:id="38" w:name="methods"/>
    <w:p>
      <w:pPr>
        <w:pStyle w:val="Heading2"/>
      </w:pPr>
      <w:r>
        <w:t xml:space="preserve">Methods</w:t>
      </w:r>
    </w:p>
    <w:bookmarkStart w:id="28" w:name="event-data-and-dating"/>
    <w:p>
      <w:pPr>
        <w:pStyle w:val="Heading3"/>
      </w:pPr>
      <w:r>
        <w:t xml:space="preserve">Event data and dating</w:t>
      </w:r>
    </w:p>
    <w:p>
      <w:pPr>
        <w:pStyle w:val="FirstParagraph"/>
      </w:pPr>
      <w:r>
        <w:t xml:space="preserve">New provincial-level bird distribution records for China were taken from the released compilation of 1,029 records covering 2000–2025</w:t>
      </w:r>
      <w:r>
        <w:rPr>
          <w:vertAlign w:val="superscript"/>
        </w:rPr>
        <w:t xml:space="preserve">25</w:t>
      </w:r>
      <w:r>
        <w:t xml:space="preserve">. Each record carries a discovery date and a source publication year. We parsed a four-digit year from the discovery date field, obtaining a usable year for 1,028 of 1,029 records. Nine further records reported a discovery year later than the publication year, which is internally inconsistent; for these ten records in total we substituted publication year minus the median lag of one year, and flagged the substitution in the released data.</w:t>
      </w:r>
    </w:p>
    <w:p>
      <w:pPr>
        <w:pStyle w:val="BodyText"/>
      </w:pPr>
      <w:r>
        <w:t xml:space="preserve">Species names were harmonised by trying, in order, the Catalogue of Life China 2026, BirdLife International v10 and Clements v2025 names supplied with the compilation, retaining the first that matched the candidate pool; provincial names were harmonised by mapping Xizang to Tibet. Taiwan, Hong Kong and Macao were excluded because the survey-effort compilation does not cover them.</w:t>
      </w:r>
    </w:p>
    <w:p>
      <w:pPr>
        <w:pStyle w:val="BodyText"/>
      </w:pPr>
      <w:r>
        <w:t xml:space="preserve">For each species × province pair we retained the earliest event year; later reports of the same pair were treated as re-documentation. Pairs whose earliest record predates 2002 describe species already present at the start of the analysis window and were removed from the risk set as prevalent rather than incident cases. Every remaining event was forced into the risk set irrespective of its species-distribution-model status.</w:t>
      </w:r>
    </w:p>
    <w:bookmarkEnd w:id="28"/>
    <w:bookmarkStart w:id="29" w:name="reporting-completeness"/>
    <w:p>
      <w:pPr>
        <w:pStyle w:val="Heading3"/>
      </w:pPr>
      <w:r>
        <w:t xml:space="preserve">Reporting completeness</w:t>
      </w:r>
    </w:p>
    <w:p>
      <w:pPr>
        <w:pStyle w:val="FirstParagraph"/>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We verified that lag is stationary across discovery years using Spearman correlation and a Wilcoxon comparison of the first and second halves of the well-reported period (2002–2018), and by comparing the cumulative distributions directly.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bookmarkEnd w:id="29"/>
    <w:bookmarkStart w:id="30" w:name="risk-set"/>
    <w:p>
      <w:pPr>
        <w:pStyle w:val="Heading3"/>
      </w:pPr>
      <w:r>
        <w:t xml:space="preserve">Risk set</w:t>
      </w:r>
    </w:p>
    <w:p>
      <w:pPr>
        <w:pStyle w:val="FirstParagraph"/>
      </w:pPr>
      <w:r>
        <w:t xml:space="preserve">The candidate pool for each species comprises every province in which its species distribution model marks at least a threshold number of suitable grid cells, plus every province in which the species was actually recorded. Cells are those of the 2.5-arc-minute climate surface and have a median area of 18.3 km² (about 4.3 km on a side), so the three thresholds of 50, 100 and 200 cells require roughly 0.9, 1.8 and 3.7 thousand km² of suitable habitat within the province. Each species × province pair contributes one row per year from 2002 until the year of its first record, after which it exits the risk set (absorbing exit). At the 50-cell threshold this yields 8,319 pairs, 185,478 rows and 657 events.</w:t>
      </w:r>
    </w:p>
    <w:bookmarkEnd w:id="30"/>
    <w:bookmarkStart w:id="31" w:name="climate-variables"/>
    <w:p>
      <w:pPr>
        <w:pStyle w:val="Heading3"/>
      </w:pPr>
      <w:r>
        <w:t xml:space="preserve">Climate variables</w:t>
      </w:r>
    </w:p>
    <w:p>
      <w:pPr>
        <w:pStyle w:val="FirstParagraph"/>
      </w:pPr>
      <w:r>
        <w:t xml:space="preserve">Monthly temperature surfaces at 10 arc-minutes for 1980–2024 were taken from the WorldClim 2.1 downscaling of CRU TS 4.09</w:t>
      </w:r>
      <w:r>
        <w:rPr>
          <w:vertAlign w:val="superscript"/>
        </w:rPr>
        <w:t xml:space="preserve">53,54</w:t>
      </w:r>
      <w:r>
        <w:t xml:space="preserve">. We computed four indicators: annual mean temperature, winter mean temperature, warmest-month maximum temperature and coldest-month minimum temperature. Provincial series</w:t>
      </w:r>
      <w:r>
        <w:t xml:space="preserve"> </w:t>
      </w:r>
      <w:r>
        <w:rPr>
          <w:i/>
          <w:iCs/>
        </w:rPr>
        <w:t xml:space="preserve">T</w:t>
      </w:r>
      <w:r>
        <w:t xml:space="preserve">(</w:t>
      </w:r>
      <w:r>
        <w:rPr>
          <w:i/>
          <w:iCs/>
        </w:rPr>
        <w:t xml:space="preserve">p</w:t>
      </w:r>
      <w:r>
        <w:t xml:space="preserve">,</w:t>
      </w:r>
      <w:r>
        <w:rPr>
          <w:i/>
          <w:iCs/>
        </w:rPr>
        <w:t xml:space="preserve">t</w:t>
      </w:r>
      <w:r>
        <w:t xml:space="preserve">) are area-weighted means over the 100 km analysis grid, weighted by the area of overlap between each grid cell and the province; species-range series</w:t>
      </w:r>
      <w:r>
        <w:t xml:space="preserve"> </w:t>
      </w:r>
      <w:r>
        <w:rPr>
          <w:i/>
          <w:iCs/>
        </w:rPr>
        <w:t xml:space="preserve">N</w:t>
      </w:r>
      <w:r>
        <w:t xml:space="preserve">(</w:t>
      </w:r>
      <w:r>
        <w:rPr>
          <w:i/>
          <w:iCs/>
        </w:rPr>
        <w:t xml:space="preserve">s</w:t>
      </w:r>
      <w:r>
        <w:t xml:space="preserve">,</w:t>
      </w:r>
      <w:r>
        <w:rPr>
          <w:i/>
          <w:iCs/>
        </w:rPr>
        <w:t xml:space="preserve">t</w:t>
      </w:r>
      <w:r>
        <w:t xml:space="preserve">) are means over the species’ Chinese range polygon. Baselines</w:t>
      </w:r>
      <w:r>
        <w:t xml:space="preserve"> </w:t>
      </w:r>
      <w:r>
        <w:rPr>
          <w:i/>
          <w:iCs/>
        </w:rPr>
        <w:t xml:space="preserve">T</w:t>
      </w:r>
      <w:r>
        <w:t xml:space="preserve">base and</w:t>
      </w:r>
      <w:r>
        <w:t xml:space="preserve"> </w:t>
      </w:r>
      <w:r>
        <w:rPr>
          <w:i/>
          <w:iCs/>
        </w:rPr>
        <w:t xml:space="preserve">N</w:t>
      </w:r>
      <w:r>
        <w:t xml:space="preserve">base are 1980–2000 means at both ends.</w:t>
      </w:r>
    </w:p>
    <w:p>
      <w:pPr>
        <w:pStyle w:val="BodyText"/>
      </w:pPr>
      <w:r>
        <w:t xml:space="preserve">The species-referenced climate gradient is</w:t>
      </w:r>
    </w:p>
    <w:p>
      <w:pPr>
        <w:pStyle w:val="BodyText"/>
      </w:pP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w:t>
      </w:r>
      <w:r>
        <w:rPr>
          <w:i/>
          <w:iCs/>
        </w:rPr>
        <w:t xml:space="preserve">T</w:t>
      </w:r>
      <w:r>
        <w:t xml:space="preserve">(</w:t>
      </w:r>
      <w:r>
        <w:rPr>
          <w:i/>
          <w:iCs/>
        </w:rPr>
        <w:t xml:space="preserve">p</w:t>
      </w:r>
      <w:r>
        <w:t xml:space="preserve">,</w:t>
      </w:r>
      <w:r>
        <w:rPr>
          <w:i/>
          <w:iCs/>
        </w:rPr>
        <w:t xml:space="preserve">t</w:t>
      </w:r>
      <w:r>
        <w:t xml:space="preserve">) −</w:t>
      </w:r>
      <w:r>
        <w:t xml:space="preserve"> </w:t>
      </w:r>
      <w:r>
        <w:rPr>
          <w:i/>
          <w:iCs/>
        </w:rPr>
        <w:t xml:space="preserve">T</w:t>
      </w:r>
      <w:r>
        <w:t xml:space="preserve">base(</w:t>
      </w:r>
      <w:r>
        <w:rPr>
          <w:i/>
          <w:iCs/>
        </w:rPr>
        <w:t xml:space="preserve">p</w:t>
      </w:r>
      <w:r>
        <w:t xml:space="preserve">)] − [</w:t>
      </w:r>
      <w:r>
        <w:rPr>
          <w:i/>
          <w:iCs/>
        </w:rPr>
        <w:t xml:space="preserve">N</w:t>
      </w:r>
      <w:r>
        <w:t xml:space="preserve">(</w:t>
      </w:r>
      <w:r>
        <w:rPr>
          <w:i/>
          <w:iCs/>
        </w:rPr>
        <w:t xml:space="preserve">s</w:t>
      </w:r>
      <w:r>
        <w:t xml:space="preserve">,</w:t>
      </w:r>
      <w:r>
        <w:rPr>
          <w:i/>
          <w:iCs/>
        </w:rPr>
        <w:t xml:space="preserve">t</w:t>
      </w:r>
      <w:r>
        <w:t xml:space="preserve">) −</w:t>
      </w:r>
      <w:r>
        <w:t xml:space="preserve"> </w:t>
      </w:r>
      <w:r>
        <w:rPr>
          <w:i/>
          <w:iCs/>
        </w:rPr>
        <w:t xml:space="preserve">N</w:t>
      </w:r>
      <w:r>
        <w:t xml:space="preserve">base(</w:t>
      </w:r>
      <w:r>
        <w:rPr>
          <w:i/>
          <w:iCs/>
        </w:rPr>
        <w:t xml:space="preserve">s</w:t>
      </w:r>
      <w:r>
        <w:t xml:space="preserve">)],</w:t>
      </w:r>
    </w:p>
    <w:p>
      <w:pPr>
        <w:pStyle w:val="BodyText"/>
      </w:pPr>
      <w:r>
        <w:t xml:space="preserve">that is, how much more the target province has warmed than the species’ own historical range. This is decomposed, strictly backward-looking, into an accumulated component and a residual:</w:t>
      </w:r>
    </w:p>
    <w:p>
      <w:pPr>
        <w:pStyle w:val="BodyText"/>
      </w:pPr>
      <w:r>
        <w:t xml:space="preserve">clim_change(</w:t>
      </w:r>
      <w:r>
        <w:rPr>
          <w:i/>
          <w:iCs/>
        </w:rPr>
        <w:t xml:space="preserve">s</w:t>
      </w:r>
      <w:r>
        <w:t xml:space="preserve">,</w:t>
      </w:r>
      <w:r>
        <w:rPr>
          <w:i/>
          <w:iCs/>
        </w:rPr>
        <w:t xml:space="preserve">p</w:t>
      </w:r>
      <w:r>
        <w:t xml:space="preserve">,</w:t>
      </w:r>
      <w:r>
        <w:rPr>
          <w:i/>
          <w:iCs/>
        </w:rPr>
        <w:t xml:space="preserve">t</w:t>
      </w:r>
      <w:r>
        <w:t xml:space="preserve">) = mean of</w:t>
      </w:r>
      <w:r>
        <w:t xml:space="preserve"> </w:t>
      </w:r>
      <w:r>
        <w:rPr>
          <w:i/>
          <w:iCs/>
        </w:rPr>
        <w:t xml:space="preserve">x</w:t>
      </w:r>
      <w:r>
        <w:t xml:space="preserve"> </w:t>
      </w:r>
      <w:r>
        <w:t xml:space="preserve">over [</w:t>
      </w:r>
      <w:r>
        <w:rPr>
          <w:i/>
          <w:iCs/>
        </w:rPr>
        <w:t xml:space="preserve">t</w:t>
      </w:r>
      <w:r>
        <w:t xml:space="preserve"> </w:t>
      </w:r>
      <w:r>
        <w:t xml:space="preserve">−</w:t>
      </w:r>
      <w:r>
        <w:t xml:space="preserve"> </w:t>
      </w:r>
      <w:r>
        <w:rPr>
          <w:i/>
          <w:iCs/>
        </w:rPr>
        <w:t xml:space="preserve">W</w:t>
      </w:r>
      <w:r>
        <w:t xml:space="preserve"> </w:t>
      </w:r>
      <w:r>
        <w:t xml:space="preserve">+ 1,</w:t>
      </w:r>
      <w:r>
        <w:t xml:space="preserve"> </w:t>
      </w:r>
      <w:r>
        <w:rPr>
          <w:i/>
          <w:iCs/>
        </w:rPr>
        <w:t xml:space="preserve">t</w:t>
      </w:r>
      <w:r>
        <w:t xml:space="preserve">],</w:t>
      </w:r>
      <w:r>
        <w:t xml:space="preserve"> </w:t>
      </w:r>
      <w:r>
        <w:t xml:space="preserve">clim_var(</w:t>
      </w:r>
      <w:r>
        <w:rPr>
          <w:i/>
          <w:iCs/>
        </w:rPr>
        <w:t xml:space="preserve">s</w:t>
      </w:r>
      <w:r>
        <w:t xml:space="preserve">,</w:t>
      </w:r>
      <w:r>
        <w:rPr>
          <w:i/>
          <w:iCs/>
        </w:rPr>
        <w:t xml:space="preserve">p</w:t>
      </w:r>
      <w:r>
        <w:t xml:space="preserve">,</w:t>
      </w:r>
      <w:r>
        <w:rPr>
          <w:i/>
          <w:iCs/>
        </w:rPr>
        <w:t xml:space="preserve">t</w:t>
      </w:r>
      <w:r>
        <w:t xml:space="preserve">) =</w:t>
      </w:r>
      <w:r>
        <w:t xml:space="preserve"> </w:t>
      </w: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clim_change(</w:t>
      </w:r>
      <w:r>
        <w:rPr>
          <w:i/>
          <w:iCs/>
        </w:rPr>
        <w:t xml:space="preserve">s</w:t>
      </w:r>
      <w:r>
        <w:t xml:space="preserve">,</w:t>
      </w:r>
      <w:r>
        <w:rPr>
          <w:i/>
          <w:iCs/>
        </w:rPr>
        <w:t xml:space="preserve">p</w:t>
      </w:r>
      <w:r>
        <w:t xml:space="preserve">,</w:t>
      </w:r>
      <w:r>
        <w:rPr>
          <w:i/>
          <w:iCs/>
        </w:rPr>
        <w:t xml:space="preserve">t</w:t>
      </w:r>
      <w:r>
        <w:t xml:space="preserve">),</w:t>
      </w:r>
    </w:p>
    <w:p>
      <w:pPr>
        <w:pStyle w:val="BodyText"/>
      </w:pPr>
      <w:r>
        <w:t xml:space="preserve">with</w:t>
      </w:r>
      <w:r>
        <w:t xml:space="preserve"> </w:t>
      </w:r>
      <w:r>
        <w:rPr>
          <w:i/>
          <w:iCs/>
        </w:rPr>
        <w:t xml:space="preserve">W</w:t>
      </w:r>
      <w:r>
        <w:t xml:space="preserve"> </w:t>
      </w:r>
      <w:r>
        <w:t xml:space="preserve">∈ {5, 10, 15, 20} years. Because the surfaces extend back to 1980, no analysis-period rows are lost to the trailing window at any</w:t>
      </w:r>
      <w:r>
        <w:t xml:space="preserve"> </w:t>
      </w:r>
      <w:r>
        <w:rPr>
          <w:i/>
          <w:iCs/>
        </w:rPr>
        <w:t xml:space="preserve">W</w:t>
      </w:r>
      <w:r>
        <w:t xml:space="preserve">. The main specification uses annual mean temperature with</w:t>
      </w:r>
      <w:r>
        <w:t xml:space="preserve"> </w:t>
      </w:r>
      <w:r>
        <w:rPr>
          <w:i/>
          <w:iCs/>
        </w:rPr>
        <w:t xml:space="preserve">W</w:t>
      </w:r>
      <w:r>
        <w:t xml:space="preserve"> </w:t>
      </w:r>
      <w:r>
        <w:t xml:space="preserve">= 15.</w:t>
      </w:r>
    </w:p>
    <w:bookmarkEnd w:id="31"/>
    <w:bookmarkStart w:id="32" w:name="survey-effort"/>
    <w:p>
      <w:pPr>
        <w:pStyle w:val="Heading3"/>
      </w:pPr>
      <w:r>
        <w:t xml:space="preserve">Survey effort</w:t>
      </w:r>
    </w:p>
    <w:p>
      <w:pPr>
        <w:pStyle w:val="FirstParagraph"/>
      </w:pPr>
      <w:r>
        <w:t xml:space="preserve">Provincial annual survey effort was compiled from integrated observation records and expressed through four proxies: number of visits, number of distinct observers, number of birding days and number of records. Thirty-nine province-years (Hong Kong, Macao and Taiwan) have no coverage in the source database. A further 24 mainland province-years were recorded as exactly zero. We treat these as coverage gaps rather than true zeros: in 22 of 24, the adjacent years in the same province record between one and 27 visits. In the main analysis these cells are missing; sensitivity analyses zero-fill them (the previously published treatment) and impute them by within-province linear interpolation on the log scale, which is bounded by the neighbouring observed values. Each proxy is log1p-transformed and standardised within the analysis scope separately for each missing-data rule.</w:t>
      </w:r>
    </w:p>
    <w:bookmarkEnd w:id="32"/>
    <w:bookmarkStart w:id="33" w:name="model"/>
    <w:p>
      <w:pPr>
        <w:pStyle w:val="Heading3"/>
      </w:pPr>
      <w:r>
        <w:t xml:space="preserve">Model</w:t>
      </w:r>
    </w:p>
    <w:p>
      <w:pPr>
        <w:pStyle w:val="FirstParagraph"/>
      </w:pPr>
      <w:r>
        <w:t xml:space="preserve">We model the annual hazard that species</w:t>
      </w:r>
      <w:r>
        <w:t xml:space="preserve"> </w:t>
      </w:r>
      <w:r>
        <w:rPr>
          <w:i/>
          <w:iCs/>
        </w:rPr>
        <w:t xml:space="preserve">s</w:t>
      </w:r>
      <w:r>
        <w:t xml:space="preserve"> </w:t>
      </w:r>
      <w:r>
        <w:t xml:space="preserve">is first recorded in province</w:t>
      </w:r>
      <w:r>
        <w:t xml:space="preserve"> </w:t>
      </w:r>
      <w:r>
        <w:rPr>
          <w:i/>
          <w:iCs/>
        </w:rPr>
        <w:t xml:space="preserve">p</w:t>
      </w:r>
      <w:r>
        <w:t xml:space="preserve"> </w:t>
      </w:r>
      <w:r>
        <w:t xml:space="preserve">in year</w:t>
      </w:r>
      <w:r>
        <w:t xml:space="preserve"> </w:t>
      </w:r>
      <w:r>
        <w:rPr>
          <w:i/>
          <w:iCs/>
        </w:rPr>
        <w:t xml:space="preserve">t</w:t>
      </w:r>
      <w:r>
        <w:t xml:space="preserve"> </w:t>
      </w:r>
      <w:r>
        <w:t xml:space="preserve">as a discrete-time proportional-hazards model with a complementary log-log link</w:t>
      </w:r>
      <w:r>
        <w:rPr>
          <w:vertAlign w:val="superscript"/>
        </w:rPr>
        <w:t xml:space="preserve">72,73,55</w:t>
      </w:r>
      <w:r>
        <w:t xml:space="preserve">:</w:t>
      </w:r>
    </w:p>
    <w:p>
      <w:pPr>
        <w:pStyle w:val="BodyText"/>
      </w:pPr>
      <w:r>
        <w:t xml:space="preserve">log(−log(1 −</w:t>
      </w:r>
      <w:r>
        <w:t xml:space="preserve"> </w:t>
      </w:r>
      <w:r>
        <w:rPr>
          <w:i/>
          <w:iCs/>
        </w:rPr>
        <w:t xml:space="preserve">h</w:t>
      </w:r>
      <w:r>
        <w:t xml:space="preserve">(</w:t>
      </w:r>
      <w:r>
        <w:rPr>
          <w:i/>
          <w:iCs/>
        </w:rPr>
        <w:t xml:space="preserve">s</w:t>
      </w:r>
      <w:r>
        <w:t xml:space="preserve">,</w:t>
      </w:r>
      <w:r>
        <w:rPr>
          <w:i/>
          <w:iCs/>
        </w:rPr>
        <w:t xml:space="preserve">p</w:t>
      </w:r>
      <w:r>
        <w:t xml:space="preserve">,</w:t>
      </w:r>
      <w:r>
        <w:rPr>
          <w:i/>
          <w:iCs/>
        </w:rPr>
        <w:t xml:space="preserve">t</w:t>
      </w:r>
      <w:r>
        <w:t xml:space="preserve">))) = β₀ + β₁·clim_change_z + β₂·effort_z + β₃·(clim_change_z × effort_z) + β₄·clim_var_z + log</w:t>
      </w:r>
      <w:r>
        <w:t xml:space="preserve"> </w:t>
      </w:r>
      <w:r>
        <w:rPr>
          <w:i/>
          <w:iCs/>
        </w:rPr>
        <w:t xml:space="preserve">c</w:t>
      </w:r>
      <w:r>
        <w:t xml:space="preserve">(</w:t>
      </w:r>
      <w:r>
        <w:rPr>
          <w:i/>
          <w:iCs/>
        </w:rPr>
        <w:t xml:space="preserve">t</w:t>
      </w:r>
      <w:r>
        <w:t xml:space="preserve">) +</w:t>
      </w:r>
      <w:r>
        <w:t xml:space="preserve"> </w:t>
      </w:r>
      <w:r>
        <w:rPr>
          <w:i/>
          <w:iCs/>
        </w:rPr>
        <w:t xml:space="preserve">u</w:t>
      </w:r>
      <w:r>
        <w:t xml:space="preserve">ₛ +</w:t>
      </w:r>
      <w:r>
        <w:t xml:space="preserve"> </w:t>
      </w:r>
      <w:r>
        <w:rPr>
          <w:i/>
          <w:iCs/>
        </w:rPr>
        <w:t xml:space="preserve">v</w:t>
      </w:r>
      <w:r>
        <w:t xml:space="preserve">ₚ +</w:t>
      </w:r>
      <w:r>
        <w:t xml:space="preserve"> </w:t>
      </w:r>
      <w:r>
        <w:rPr>
          <w:i/>
          <w:iCs/>
        </w:rPr>
        <w:t xml:space="preserve">w</w:t>
      </w:r>
      <w:r>
        <w:t xml:space="preserve">ₚₜ,</w:t>
      </w:r>
    </w:p>
    <w:p>
      <w:pPr>
        <w:pStyle w:val="BodyText"/>
      </w:pPr>
      <w:r>
        <w:t xml:space="preserve">with</w:t>
      </w:r>
      <w:r>
        <w:t xml:space="preserve"> </w:t>
      </w:r>
      <w:r>
        <w:rPr>
          <w:i/>
          <w:iCs/>
        </w:rPr>
        <w:t xml:space="preserve">u</w:t>
      </w:r>
      <w:r>
        <w:t xml:space="preserve">ₛ ~ N(0, σ²species),</w:t>
      </w:r>
      <w:r>
        <w:t xml:space="preserve"> </w:t>
      </w:r>
      <w:r>
        <w:rPr>
          <w:i/>
          <w:iCs/>
        </w:rPr>
        <w:t xml:space="preserve">v</w:t>
      </w:r>
      <w:r>
        <w:t xml:space="preserve">ₚ ~ N(0, σ²province) and</w:t>
      </w:r>
      <w:r>
        <w:t xml:space="preserve"> </w:t>
      </w:r>
      <w:r>
        <w:rPr>
          <w:i/>
          <w:iCs/>
        </w:rPr>
        <w:t xml:space="preserve">w</w:t>
      </w:r>
      <w:r>
        <w:t xml:space="preserve">ₚₜ ~ N(0, σ²province×year). All predictors are standardised on the analysis sample, so coefficients are hazard ratios per standard deviation. Models were fitted with glmmTMB 1.1</w:t>
      </w:r>
      <w:r>
        <w:rPr>
          <w:vertAlign w:val="superscript"/>
        </w:rPr>
        <w:t xml:space="preserve">55</w:t>
      </w:r>
      <w:r>
        <w:t xml:space="preserve">.</w:t>
      </w:r>
    </w:p>
    <w:p>
      <w:pPr>
        <w:pStyle w:val="BodyText"/>
      </w:pPr>
      <w:r>
        <w:t xml:space="preserve">Six random-effect structures were compared on four criteria: AIC and BIC; explanatory power (McFadden pseudo-</w:t>
      </w:r>
      <w:r>
        <w:rPr>
          <w:i/>
          <w:iCs/>
        </w:rPr>
        <w:t xml:space="preserve">R</w:t>
      </w:r>
      <w:r>
        <w:t xml:space="preserve">², Nakagawa marginal and conditional</w:t>
      </w:r>
      <w:r>
        <w:t xml:space="preserve"> </w:t>
      </w:r>
      <w:r>
        <w:rPr>
          <w:i/>
          <w:iCs/>
        </w:rPr>
        <w:t xml:space="preserve">R</w:t>
      </w:r>
      <w:r>
        <w:t xml:space="preserve">²</w:t>
      </w:r>
      <w:r>
        <w:rPr>
          <w:vertAlign w:val="superscript"/>
        </w:rPr>
        <w:t xml:space="preserve">56</w:t>
      </w:r>
      <w:r>
        <w:t xml:space="preserve">, and marginal and conditional AUC); variance-component identifiability; and the ecological interpretability of each term. The structure reported above was frozen before the robustness analyses were run.</w:t>
      </w:r>
    </w:p>
    <w:bookmarkEnd w:id="33"/>
    <w:bookmarkStart w:id="34" w:name="resampling-and-null-models"/>
    <w:p>
      <w:pPr>
        <w:pStyle w:val="Heading3"/>
      </w:pPr>
      <w:r>
        <w:t xml:space="preserve">Resampling and null models</w:t>
      </w:r>
    </w:p>
    <w:p>
      <w:pPr>
        <w:pStyle w:val="FirstParagraph"/>
      </w:pPr>
      <w:r>
        <w:t xml:space="preserve">Three design-preserving permutation nulls were constructed, each breaking exactly one association: N1 shuffles accumulated warming among species within each province-year; N2 shuffles survey effort across years within each province; N3 shuffles the event indicator among the species at risk within each province-year. Every null therefore leaves the risk-set size, the per-province-year event count, the marginal distributions of effort and reporting completeness, and the random-effect hierarchy identical to the observed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reduces fit time from 61 to 39 seconds while changing coefficients by less than 10⁻³.</w:t>
      </w:r>
    </w:p>
    <w:bookmarkEnd w:id="34"/>
    <w:bookmarkStart w:id="35" w:name="diagnostics"/>
    <w:p>
      <w:pPr>
        <w:pStyle w:val="Heading3"/>
      </w:pPr>
      <w:r>
        <w:t xml:space="preserve">Diagnostics</w:t>
      </w:r>
    </w:p>
    <w:p>
      <w:pPr>
        <w:pStyle w:val="FirstParagraph"/>
      </w:pPr>
      <w:r>
        <w:t xml:space="preserve">Residual diagnostics used simulation-based scaled residuals with 500 simulations</w:t>
      </w:r>
      <w:r>
        <w:rPr>
          <w:vertAlign w:val="superscript"/>
        </w:rPr>
        <w:t xml:space="preserve">78</w:t>
      </w:r>
      <w:r>
        <w:t xml:space="preserve">: uniformity, dispersion, outliers, zero inflation, and grouped uniformity by year and by province. Spatial autocorrelation was assessed as Moran’s</w:t>
      </w:r>
      <w:r>
        <w:t xml:space="preserve"> </w:t>
      </w:r>
      <w:r>
        <w:rPr>
          <w:i/>
          <w:iCs/>
        </w:rPr>
        <w:t xml:space="preserve">I</w:t>
      </w:r>
      <w:r>
        <w:t xml:space="preserve"> </w:t>
      </w:r>
      <w:r>
        <w:t xml:space="preserve">on province-mean residuals with inverse-distance weights and a 999-permutation null. Proportional hazards were tested by adding interactions between each focal term and standardised year.</w:t>
      </w:r>
    </w:p>
    <w:bookmarkEnd w:id="35"/>
    <w:bookmarkStart w:id="36" w:name="projections"/>
    <w:p>
      <w:pPr>
        <w:pStyle w:val="Heading3"/>
      </w:pPr>
      <w:r>
        <w:t xml:space="preserve">Projections</w:t>
      </w:r>
    </w:p>
    <w:p>
      <w:pPr>
        <w:pStyle w:val="FirstParagraph"/>
      </w:pPr>
      <w:r>
        <w:t xml:space="preserve">CMIP6 four-model ensemble median deltas for annual mean temperature were computed for SSP2-4.5 and SSP5-8.5 at 2030, 2050 and 2080, separately for each province and each species range, and added to both ends of the climate gradient. Effort was grown at 0.30 (SSP2-4.5) and 0.60 (SSP5-8.5) standard deviations per decade. Predictions set the province-by-year random effect to its expectation and the completeness offset to log 1, so the projected quantity is the latent generation hazard. Support was defined as the 1st–99th percentile of the fitted accumulated warming and effort; main projection figures aggregate only cells inside this range, and the share of qualifying cells is reported on every panel. A gradient-boosted comparison model (XGBoost, 400 rounds, learning rate 0.05, depth 4)</w:t>
      </w:r>
      <w:r>
        <w:rPr>
          <w:vertAlign w:val="superscript"/>
        </w:rPr>
        <w:t xml:space="preserve">36</w:t>
      </w:r>
      <w:r>
        <w:t xml:space="preserve"> </w:t>
      </w:r>
      <w:r>
        <w:t xml:space="preserve">was trained on the same three predictors, and exact TreeSHAP attributions were computed for interpretation</w:t>
      </w:r>
      <w:r>
        <w:rPr>
          <w:vertAlign w:val="superscript"/>
        </w:rPr>
        <w:t xml:space="preserve">35</w:t>
      </w:r>
      <w:r>
        <w:t xml:space="preserve">.</w:t>
      </w:r>
    </w:p>
    <w:bookmarkEnd w:id="36"/>
    <w:bookmarkStart w:id="37" w:name="data-and-code-availability"/>
    <w:p>
      <w:pPr>
        <w:pStyle w:val="Heading3"/>
      </w:pPr>
      <w:r>
        <w:t xml:space="preserve">Data and code availability</w:t>
      </w:r>
    </w:p>
    <w:p>
      <w:pPr>
        <w:pStyle w:val="FirstParagraph"/>
      </w:pPr>
      <w:r>
        <w:t xml:space="preserve">All modelling data, analysis code, result tables, figures in four formats including editable PowerPoint, and this manuscript are archived in the accompanying repository. Species range polygons (BirdLife International) and CRU TS climate surfaces are third-party licensed and are not redistributed; paths to local copies are configured in</w:t>
      </w:r>
      <w:r>
        <w:t xml:space="preserve"> </w:t>
      </w:r>
      <w:r>
        <w:rPr>
          <w:rStyle w:val="VerbatimChar"/>
        </w:rPr>
        <w:t xml:space="preserve">config.R</w:t>
      </w:r>
      <w:r>
        <w:t xml:space="preserve">. A smoke test reproduces the headline coefficients from the shipped data in approximately two minutes.</w:t>
      </w:r>
    </w:p>
    <w:p>
      <w:r>
        <w:pict>
          <v:rect style="width:0;height:1.5pt" o:hralign="center" o:hrstd="t" o:hr="t"/>
        </w:pict>
      </w:r>
    </w:p>
    <w:bookmarkEnd w:id="37"/>
    <w:bookmarkEnd w:id="38"/>
    <w:bookmarkEnd w:id="39"/>
    <w:sectPr>
      <w:footerReference w:type="default" r:id="rId9"/>
      <w:footnotePr>
        <w:numRestart w:val="eachSect"/>
      </w:footnotePr>
      <w:pgMar w:left="1440" w:right="1440" w:top="1440" w:bottom="1440"/>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A1,A2</w:t>
      </w:r>
    </w:p>
  </w:footnote>
  <w:footnote w:id="25">
    <w:p>
      <w:pPr>
        <w:pStyle w:val="FootnoteText"/>
      </w:pPr>
      <w:r>
        <w:rPr>
          <w:rStyle w:val="FootnoteReference"/>
        </w:rPr>
        <w:footnoteRef/>
      </w:r>
      <w:r>
        <w:t xml:space="preserve"> </w:t>
      </w:r>
      <w:r>
        <w:t xml:space="preserve">A3–A5</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b/>
      <w:color w:val="000000"/>
      <w:sz w:val="26"/>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b/>
      <w:color w:val="000000"/>
      <w:sz w:val="26"/>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b/>
      <w:color w:val="000000"/>
      <w:sz w:val="26"/>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b/>
      <w:color w:val="000000"/>
      <w:sz w:val="26"/>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b/>
      <w:i/>
      <w:iCs/>
      <w:color w:val="000000"/>
      <w:sz w:val="26"/>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b/>
      <w:color w:val="000000"/>
      <w:sz w:val="26"/>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b/>
      <w:i/>
      <w:iCs/>
      <w:color w:val="000000"/>
      <w:sz w:val="26"/>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b/>
      <w:color w:val="000000"/>
      <w:sz w:val="26"/>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b/>
      <w:i/>
      <w:iCs/>
      <w:color w:val="000000"/>
      <w:sz w:val="26"/>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2026-08-13T14:11:31Z</dcterms:created>
  <dcterms:modified xsi:type="dcterms:W3CDTF">2026-08-13T14:11:31Z</dcterms:modified>
</cp:coreProperties>
</file>

<file path=docProps/custom.xml><?xml version="1.0" encoding="utf-8"?>
<Properties xmlns="http://schemas.openxmlformats.org/officeDocument/2006/custom-properties" xmlns:vt="http://schemas.openxmlformats.org/officeDocument/2006/docPropsVTypes"/>
</file>