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supplementary-information"/>
    <w:p>
      <w:pPr>
        <w:pStyle w:val="Heading1"/>
      </w:pPr>
      <w:r>
        <w:t xml:space="preserve">Supplementary Information</w:t>
      </w:r>
    </w:p>
    <w:p>
      <w:pPr>
        <w:pStyle w:val="FirstParagraph"/>
      </w:pPr>
      <w:r>
        <w:rPr>
          <w:b/>
          <w:bCs/>
        </w:rPr>
        <w:t xml:space="preserve">Warming and survey effort contribute comparably to the generation of new bird distribution records once records are dated to discovery</w:t>
      </w:r>
    </w:p>
    <w:p>
      <w:pPr>
        <w:pStyle w:val="BodyText"/>
      </w:pPr>
      <w:r>
        <w:t xml:space="preserve">Chenchen Ding, et al.</w:t>
      </w:r>
    </w:p>
    <w:bookmarkStart w:id="17" w:name="supplementary-notes"/>
    <w:p>
      <w:pPr>
        <w:pStyle w:val="Heading2"/>
      </w:pPr>
      <w:r>
        <w:t xml:space="preserve">Supplementary Notes</w:t>
      </w:r>
    </w:p>
    <w:bookmarkStart w:id="9" w:name="X6a5d89e8826973009d983b5adb39c60673f0864"/>
    <w:p>
      <w:pPr>
        <w:pStyle w:val="Heading3"/>
      </w:pPr>
      <w:r>
        <w:t xml:space="preserve">Supplementary Note S1. Publication-lag stationarity and the completeness offset</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under publication-year dating they had been lost beyond the window edge.</w:t>
      </w:r>
    </w:p>
    <w:p>
      <w:pPr>
        <w:pStyle w:val="BodyText"/>
      </w:pPr>
      <w:r>
        <w:t xml:space="preserve">Publication lags discovery by a median of one year and a mean of 2.09 years; 81.7% of records lag by at least one year and 26.8% by three or more (Fig. 1a). Re-dating changes the assigned year of 526 of 633 comparable events (83.1%), with a median shift of −1 year and a mean of −1.83 years. The two dating conventions produce qualitatively different time series (Fig. 1b):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The pooled distribution is justified because publication lag is stationary over the study period (Spearman correlation between discovery year and lag ρ = −0.016,</w:t>
      </w:r>
      <w:r>
        <w:t xml:space="preserve"> </w:t>
      </w:r>
      <w:r>
        <w:rPr>
          <w:i/>
          <w:iCs/>
        </w:rPr>
        <w:t xml:space="preserve">P</w:t>
      </w:r>
      <w:r>
        <w:t xml:space="preserve"> </w:t>
      </w:r>
      <w:r>
        <w:t xml:space="preserve">= 0.685; Wilcoxon comparison of 2002–2010 with 2011–2018</w:t>
      </w:r>
      <w:r>
        <w:t xml:space="preserve"> </w:t>
      </w:r>
      <w:r>
        <w:rPr>
          <w:i/>
          <w:iCs/>
        </w:rPr>
        <w:t xml:space="preserve">P</w:t>
      </w:r>
      <w:r>
        <w:t xml:space="preserve"> </w:t>
      </w:r>
      <w:r>
        <w:t xml:space="preserve">= 0.851; cumulative distributions differ by at most three percentage points at every lag).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 The spatial and temporal pattern of the released compilation—dense in the east and south, sparse but not empty in the west, and rising roughly ninefold in annual count between 2002–2004 and 2022–2024—is summarised in Supplementary Fig. S15.</w:t>
      </w:r>
    </w:p>
    <w:p>
      <w:pPr>
        <w:pStyle w:val="BodyText"/>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9"/>
    <w:bookmarkStart w:id="10" w:name="Xbba124bd41f3552be1c16a4168205fbd71bf498"/>
    <w:p>
      <w:pPr>
        <w:pStyle w:val="Heading3"/>
      </w:pPr>
      <w:r>
        <w:t xml:space="preserve">Supplementary Note S2. Nature reserves: matched conditional-logistic design</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(172,079 checklists at 43,571 distinct locations, 2002–2023) to define availability as</w:t>
      </w:r>
      <w:r>
        <w:t xml:space="preserve"> </w:t>
      </w:r>
      <w:r>
        <w:rPr>
          <w:i/>
          <w:iCs/>
        </w:rPr>
        <w:t xml:space="preserve">where birdwatchers actually went</w:t>
      </w:r>
      <w:r>
        <w:t xml:space="preserve">. Each event was matched to 200 control locations drawn from the same province and year, weighted by the checklists recorded there, and analysed by conditional logistic regression (Supplementary Fig. S12).</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of the residual association argue that it too is largely observational. First, it is carried by very few sites: the 172 inside-reserve events fall in only 68 reserves (6.6% of the 1,028), the top two account for 27.3%, and a block bootstrap resampling host reserves rather than records widens the interval to 0.89–3.19. Dropping the two largest hosts leaves 1.16 (0.92–1.47). Second, it is confined to the period of rapid growth in birdwatching: the odds ratio is 2.05 (1.61–2.59) for 2013–2023 but 0.97 (0.62–1.50) for 2002–2012, although the mapped reserve network gained no area after 2012. Third, checklists made inside reserves record 18.9 species on average against 15.3 outside, a 24% difference in per-visit yield that stratification by province and year cannot remove. Two competing explanations were tested and rejected: the enrichment is not driven by professional survey work (inside-reserve share is 28.5% for birdwatching-type discoveries, 26.3% for specimen, camera-trap and ringing discoveries), and it is not an artefact of coordinate precision (the share rises smoothly from 26.2% to 37.6% across 0–5 km buffers, with no threshold jump).</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w:t>
      </w:r>
    </w:p>
    <w:p>
      <w:pPr>
        <w:pStyle w:val="BodyText"/>
      </w:pPr>
      <w:r>
        <w:t xml:space="preserve">Whether a first record becomes a persistent presence is unrelated to reserve status. Using subsequent detections of the same species in the same province in the checklist layer, 41.1% of first records were re-detected at least once and 22.5% in three or more later years. Controlling for subsequent survey effort — which grew from 148 checklists province-wide in 2002 to 14,974 in 2023 and dominates re-detection — the inside-versus-outside odds ratios are 1.01 (0.62–1.64) and 1.10 (0.61–1.99) (Supplementary Fig. S13). The confidence intervals are slightly wider than our pre-declared equivalence bounds of 0.67–1.5, so we report no detectable difference rather than equivalence. These figures also give the first empirical handle on the vagrancy objection: provincial first records are not predominantly vagrants, but neither are they predominantly colonisations.</w:t>
      </w:r>
    </w:p>
    <w:p>
      <w:pPr>
        <w:pStyle w:val="BodyText"/>
      </w:pPr>
      <w:r>
        <w:t xml:space="preserve">Finally, the reserve network shows no measurable mismatch with observed warming, contrary to a widely repeated expectation. Recomputing warming at the cell level from CRU TS 4.09 — the warming fields distributed with the gridded panel are provincial values broadcast to cells, with only 31 distinct values nationally — the area-weighted reserve coverage across warming quintiles ranges only from 8.5% to 11.8%, a 1.2-fold spread, against the 8.5-fold spread the broadcast field implies (Supplementary Fig. S14a). An area-weighted fractional logit gives β = −0.022 (−0.107 to 0.063, P = 0.61), and permuting coverage 999 times within province × 500 m elevation strata places the observed within-stratum correlation (ρ = −0.013) squarely inside the null envelope (P = 0.48). What the network does lack is monitoring: crossing the upper tercile of warming with the lower tercile of recent birding effort identifies 39.3 × 10⁴ km² inside existing reserves, where standardised monitoring could be grafted onto existing management, and 160.3 × 10⁴ km² outside any mapped reserve, where new survey capacity would be required.</w:t>
      </w:r>
    </w:p>
    <w:p>
      <w:pPr>
        <w:pStyle w:val="BodyText"/>
      </w:pPr>
      <w:r>
        <w:t xml:space="preserve">All statements in this section apply only to the 1,028 mapped, predominantly national-level reserves established before 2012; the vector layer excludes the national parks designated from 2021, nature parks, and the ecological conservation red lines. Because reserve status has almost no temporal variation within the study window — none of the 172 inside-reserve events pre-dates its host reserve’s designation — we make no causal claim and report no before–after or difference-in-differences estimate.</w:t>
      </w:r>
    </w:p>
    <w:p>
      <w:r>
        <w:pict>
          <v:rect style="width:0;height:1.5pt" o:hralign="center" o:hrstd="t" o:hr="t"/>
        </w:pict>
      </w:r>
    </w:p>
    <w:bookmarkEnd w:id="10"/>
    <w:bookmarkStart w:id="11" w:name="X72cd46b019a1b8faec3da1ec5f23cfbe1e76c38"/>
    <w:p>
      <w:pPr>
        <w:pStyle w:val="Heading3"/>
      </w:pPr>
      <w:r>
        <w:t xml:space="preserve">Supplementary Note S3. Migratory stratification</w:t>
      </w:r>
    </w:p>
    <w:p>
      <w:pPr>
        <w:pStyle w:val="FirstParagraph"/>
      </w:pPr>
      <w:r>
        <w:t xml:space="preserve">New provincial records could plausibly arise by different routes in different migratory</w:t>
      </w:r>
      <w:r>
        <w:t xml:space="preserve"> </w:t>
      </w:r>
      <w:r>
        <w:t xml:space="preserve">strategies. Residents disperse slowly, so a first record should more often mark a genuine</w:t>
      </w:r>
      <w:r>
        <w:t xml:space="preserve"> </w:t>
      </w:r>
      <w:r>
        <w:t xml:space="preserve">boundary shift. Long-distance migrants are highly mobile and can appear far outside their range</w:t>
      </w:r>
      <w:r>
        <w:t xml:space="preserve"> </w:t>
      </w:r>
      <w:r>
        <w:t xml:space="preserve">as vagrants or storm-displaced individuals, processes driven by navigation error and weather</w:t>
      </w:r>
      <w:r>
        <w:t xml:space="preserve"> </w:t>
      </w:r>
      <w:r>
        <w:t xml:space="preserve">rather than by decadal warming at the destination, and they are visible only on passage. We</w:t>
      </w:r>
      <w:r>
        <w:t xml:space="preserve"> </w:t>
      </w:r>
      <w:r>
        <w:t xml:space="preserve">therefore tested whether migratory strategy moderates either driver (Supplementary Fig. S3; Supplementary Table S3).</w:t>
      </w:r>
    </w:p>
    <w:p>
      <w:pPr>
        <w:pStyle w:val="BodyText"/>
      </w:pPr>
      <w:r>
        <w:t xml:space="preserve">The analysis uses the three groups with a known strategy — 137 resident, 72 partial-migrant and</w:t>
      </w:r>
      <w:r>
        <w:t xml:space="preserve"> </w:t>
      </w:r>
      <w:r>
        <w:t xml:space="preserve">107 long-distance-migrant species, carrying 218, 156 and 175 events respectively. Species whose</w:t>
      </w:r>
      <w:r>
        <w:t xml:space="preserve"> </w:t>
      </w:r>
      <w:r>
        <w:t xml:space="preserve">strategy is unrecorded are excluded rather than treated as a fourth category: their event rate is</w:t>
      </w:r>
      <w:r>
        <w:t xml:space="preserve"> </w:t>
      </w:r>
      <w:r>
        <w:t xml:space="preserve">0.791% against 0.29–0.42% in the other groups, and they hold a third as many risk-set rows per</w:t>
      </w:r>
      <w:r>
        <w:t xml:space="preserve"> </w:t>
      </w:r>
      <w:r>
        <w:t xml:space="preserve">species, because a species without trait data entered the candidate pool only by virtue of having</w:t>
      </w:r>
      <w:r>
        <w:t xml:space="preserve"> </w:t>
      </w:r>
      <w:r>
        <w:t xml:space="preserve">a record. That is a selection artefact, not an ecological class.</w:t>
      </w:r>
    </w:p>
    <w:p>
      <w:pPr>
        <w:pStyle w:val="BodyText"/>
      </w:pPr>
      <w:r>
        <w:t xml:space="preserve">Migratory strategy shifts the baseline hazard: adding it as a main effect improves fit</w:t>
      </w:r>
      <w:r>
        <w:t xml:space="preserve"> </w:t>
      </w:r>
      <w:r>
        <w:t xml:space="preserve">(ΔAIC 6.2 relative to the model without it) and is the best model in the ladder. It does not,</w:t>
      </w:r>
      <w:r>
        <w:t xml:space="preserve"> </w:t>
      </w:r>
      <w:r>
        <w:t xml:space="preserve">however, moderate either driver. Adding warming × strategy, effort × strategy, both, or the full</w:t>
      </w:r>
      <w:r>
        <w:t xml:space="preserve"> </w:t>
      </w:r>
      <w:r>
        <w:t xml:space="preserve">three-way warming × effort × strategy each</w:t>
      </w:r>
      <w:r>
        <w:t xml:space="preserve"> </w:t>
      </w:r>
      <w:r>
        <w:rPr>
          <w:i/>
          <w:iCs/>
        </w:rPr>
        <w:t xml:space="preserve">worsens</w:t>
      </w:r>
      <w:r>
        <w:t xml:space="preserve"> </w:t>
      </w:r>
      <w:r>
        <w:t xml:space="preserve">AIC, and none is supported by a</w:t>
      </w:r>
      <w:r>
        <w:t xml:space="preserve"> </w:t>
      </w:r>
      <w:r>
        <w:t xml:space="preserve">likelihood-ratio test (</w:t>
      </w:r>
      <w:r>
        <w:rPr>
          <w:i/>
          <w:iCs/>
        </w:rPr>
        <w:t xml:space="preserve">P</w:t>
      </w:r>
      <w:r>
        <w:t xml:space="preserve"> </w:t>
      </w:r>
      <w:r>
        <w:t xml:space="preserve">= 0.693, 0.854, 0.899 and 0.256 respectively).</w:t>
      </w:r>
    </w:p>
    <w:p>
      <w:pPr>
        <w:pStyle w:val="BodyText"/>
      </w:pPr>
      <w:r>
        <w:t xml:space="preserve">Fitting each group separately gives the same picture (Supplementary Fig. S3b). Accumulated warming raises the</w:t>
      </w:r>
      <w:r>
        <w:t xml:space="preserve"> </w:t>
      </w:r>
      <w:r>
        <w:t xml:space="preserve">hazard in every group — 1.363 (95% CI 1.158–1.605) in residents, 1.507 (1.244–1.826) in partial</w:t>
      </w:r>
      <w:r>
        <w:t xml:space="preserve"> </w:t>
      </w:r>
      <w:r>
        <w:t xml:space="preserve">migrants and 1.514 (1.265–1.812) in long-distance migrants — and so does survey effort, at 1.293,</w:t>
      </w:r>
      <w:r>
        <w:t xml:space="preserve"> </w:t>
      </w:r>
      <w:r>
        <w:t xml:space="preserve">1.270 and 1.344. The confidence intervals overlap almost completely, as the formal tests imply.</w:t>
      </w:r>
      <w:r>
        <w:t xml:space="preserve"> </w:t>
      </w:r>
      <w:r>
        <w:t xml:space="preserve">Our prior expectation that warming would matter least for long-distance migrants was not borne</w:t>
      </w:r>
      <w:r>
        <w:t xml:space="preserve"> </w:t>
      </w:r>
      <w:r>
        <w:t xml:space="preserve">out: their point estimate is the highest of the three, though indistinguishable from the others.</w:t>
      </w:r>
      <w:r>
        <w:t xml:space="preserve"> </w:t>
      </w:r>
      <w:r>
        <w:t xml:space="preserve">The stratified fits use a reduced random structure of species and province intercepts, because</w:t>
      </w:r>
      <w:r>
        <w:t xml:space="preserve"> </w:t>
      </w:r>
      <w:r>
        <w:t xml:space="preserve">689 province-year levels are not identifiable from 156–218 events; the ladder, which uses all 549</w:t>
      </w:r>
      <w:r>
        <w:t xml:space="preserve"> </w:t>
      </w:r>
      <w:r>
        <w:t xml:space="preserve">events, retains the full structure.</w:t>
      </w:r>
    </w:p>
    <w:p>
      <w:pPr>
        <w:pStyle w:val="BodyText"/>
      </w:pPr>
      <w:r>
        <w:t xml:space="preserve">One pattern is worth flagging without claiming it. The warming × effort interaction is confined to</w:t>
      </w:r>
      <w:r>
        <w:t xml:space="preserve"> </w:t>
      </w:r>
      <w:r>
        <w:t xml:space="preserve">long-distance migrants (0.753, 0.628–0.903,</w:t>
      </w:r>
      <w:r>
        <w:t xml:space="preserve"> </w:t>
      </w:r>
      <w:r>
        <w:rPr>
          <w:i/>
          <w:iCs/>
        </w:rPr>
        <w:t xml:space="preserve">P</w:t>
      </w:r>
      <w:r>
        <w:t xml:space="preserve"> </w:t>
      </w:r>
      <w:r>
        <w:t xml:space="preserve">= 0.0022) and is absent in residents (0.942,</w:t>
      </w:r>
      <w:r>
        <w:t xml:space="preserve"> </w:t>
      </w:r>
      <w:r>
        <w:rPr>
          <w:i/>
          <w:iCs/>
        </w:rPr>
        <w:t xml:space="preserve">P</w:t>
      </w:r>
      <w:r>
        <w:t xml:space="preserve"> </w:t>
      </w:r>
      <w:r>
        <w:t xml:space="preserve">= 0.54) and partial migrants (1.053,</w:t>
      </w:r>
      <w:r>
        <w:t xml:space="preserve"> </w:t>
      </w:r>
      <w:r>
        <w:rPr>
          <w:i/>
          <w:iCs/>
        </w:rPr>
        <w:t xml:space="preserve">P</w:t>
      </w:r>
      <w:r>
        <w:t xml:space="preserve"> </w:t>
      </w:r>
      <w:r>
        <w:t xml:space="preserve">= 0.62). But the test that matters for this claim is</w:t>
      </w:r>
      <w:r>
        <w:t xml:space="preserve"> </w:t>
      </w:r>
      <w:r>
        <w:t xml:space="preserve">whether the groups differ, and it is not significant: the three-way likelihood-ratio test gives</w:t>
      </w:r>
      <w:r>
        <w:t xml:space="preserve"> </w:t>
      </w:r>
      <w:r>
        <w:rPr>
          <w:i/>
          <w:iCs/>
        </w:rPr>
        <w:t xml:space="preserve">P</w:t>
      </w:r>
      <w:r>
        <w:t xml:space="preserve"> </w:t>
      </w:r>
      <w:r>
        <w:t xml:space="preserve">= 0.256 and the long-distance-versus-resident contrast</w:t>
      </w:r>
      <w:r>
        <w:t xml:space="preserve"> </w:t>
      </w:r>
      <w:r>
        <w:rPr>
          <w:i/>
          <w:iCs/>
        </w:rPr>
        <w:t xml:space="preserve">P</w:t>
      </w:r>
      <w:r>
        <w:t xml:space="preserve"> </w:t>
      </w:r>
      <w:r>
        <w:t xml:space="preserve">= 0.078. With at most 218 events per</w:t>
      </w:r>
      <w:r>
        <w:t xml:space="preserve"> </w:t>
      </w:r>
      <w:r>
        <w:t xml:space="preserve">group the design cannot resolve group differences in an interaction term, so we report this as a</w:t>
      </w:r>
      <w:r>
        <w:t xml:space="preserve"> </w:t>
      </w:r>
      <w:r>
        <w:t xml:space="preserve">hypothesis for a larger compilation rather than as a result (Supplementary Fig. S3d).</w:t>
      </w:r>
    </w:p>
    <w:bookmarkEnd w:id="11"/>
    <w:bookmarkStart w:id="12" w:name="X92040162a42e31812d4f3b7d9ec630d4a99256a"/>
    <w:p>
      <w:pPr>
        <w:pStyle w:val="Heading3"/>
      </w:pPr>
      <w:r>
        <w:t xml:space="preserve">Supplementary Note S4. Species-level and province-level companion analyses</w:t>
      </w:r>
    </w:p>
    <w:p>
      <w:pPr>
        <w:pStyle w:val="FirstParagraph"/>
      </w:pPr>
      <w:r>
        <w:t xml:space="preserve">The hazard model asks what governs the risk that a given species is recorded in a given province</w:t>
      </w:r>
      <w:r>
        <w:t xml:space="preserve"> </w:t>
      </w:r>
      <w:r>
        <w:t xml:space="preserve">in a given year. Two complementary questions operate at coarser levels: which species are more</w:t>
      </w:r>
      <w:r>
        <w:t xml:space="preserve"> </w:t>
      </w:r>
      <w:r>
        <w:t xml:space="preserve">likely to yield a new provincial record at all, and which provinces accumulate more of them. We</w:t>
      </w:r>
      <w:r>
        <w:t xml:space="preserve"> </w:t>
      </w:r>
      <w:r>
        <w:t xml:space="preserve">address both following the framework of the companion mammal study, adapted to birds</w:t>
      </w:r>
      <w:r>
        <w:t xml:space="preserve"> </w:t>
      </w:r>
      <w:r>
        <w:t xml:space="preserve">(Figs 9, 10; Tables 7, 8).</w:t>
      </w:r>
    </w:p>
    <w:p>
      <w:pPr>
        <w:pStyle w:val="BodyText"/>
      </w:pPr>
      <w:r>
        <w:rPr>
          <w:i/>
          <w:iCs/>
        </w:rPr>
        <w:t xml:space="preserve">Species level.</w:t>
      </w:r>
      <w:r>
        <w:t xml:space="preserve"> </w:t>
      </w:r>
      <w:r>
        <w:t xml:space="preserve">The pool is the 1,445 Chinese bird species of the national ecological trait</w:t>
      </w:r>
      <w:r>
        <w:t xml:space="preserve"> </w:t>
      </w:r>
      <w:r>
        <w:t xml:space="preserve">database, of which 1,312 match the dated Clements phylogeny and 361 acquired at least one new</w:t>
      </w:r>
      <w:r>
        <w:t xml:space="preserve"> </w:t>
      </w:r>
      <w:r>
        <w:t xml:space="preserve">provincial record; these carry 636 of the 657 events, the remainder belonging to 13 species that</w:t>
      </w:r>
      <w:r>
        <w:t xml:space="preserve"> </w:t>
      </w:r>
      <w:r>
        <w:t xml:space="preserve">are post-2022 taxonomic splits absent from the pool. Traits come from three sources in order of</w:t>
      </w:r>
      <w:r>
        <w:t xml:space="preserve"> </w:t>
      </w:r>
      <w:r>
        <w:t xml:space="preserve">precedence: the Chinese database for body mass, morphometrics, multi-category diet, clutch size,</w:t>
      </w:r>
      <w:r>
        <w:t xml:space="preserve"> </w:t>
      </w:r>
      <w:r>
        <w:t xml:space="preserve">nest type and site, flocking, migratory status and endemism; BIRDBASE for habitat breadth (the</w:t>
      </w:r>
      <w:r>
        <w:t xml:space="preserve"> </w:t>
      </w:r>
      <w:r>
        <w:t xml:space="preserve">number of major habitats used), diet breadth (the number of major food types consumed) and IUCN</w:t>
      </w:r>
      <w:r>
        <w:t xml:space="preserve"> </w:t>
      </w:r>
      <w:r>
        <w:t xml:space="preserve">status; and AVONET for the hand-wing index and global range area. Phylogenetic non-independence</w:t>
      </w:r>
      <w:r>
        <w:t xml:space="preserve"> </w:t>
      </w:r>
      <w:r>
        <w:t xml:space="preserve">is handled with the tree itself, using phylogenetic logistic regression (Ives &amp; Garland,</w:t>
      </w:r>
      <w:r>
        <w:t xml:space="preserve"> </w:t>
      </w:r>
      <w:r>
        <w:t xml:space="preserve">estimated α = 0.60), with taxonomic nesting and phylogenetic eigenvector regression as coarser</w:t>
      </w:r>
      <w:r>
        <w:t xml:space="preserve"> </w:t>
      </w:r>
      <w:r>
        <w:t xml:space="preserve">alternatives to confirm that nothing depends on the choice.</w:t>
      </w:r>
    </w:p>
    <w:p>
      <w:pPr>
        <w:pStyle w:val="BodyText"/>
      </w:pPr>
      <w:r>
        <w:t xml:space="preserve">Two effects hold under all three treatments (Supplementary Fig. S4a, b, d). Partial migrants are about twice as</w:t>
      </w:r>
      <w:r>
        <w:t xml:space="preserve"> </w:t>
      </w:r>
      <w:r>
        <w:t xml:space="preserve">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w:t>
      </w:r>
      <w:r>
        <w:t xml:space="preserve"> </w:t>
      </w:r>
      <w:r>
        <w:t xml:space="preserve">with the hazard model from a different direction: partial migrants also carry the highest raw</w:t>
      </w:r>
      <w:r>
        <w:t xml:space="preserve"> </w:t>
      </w:r>
      <w:r>
        <w:t xml:space="preserve">event rate there (0.417% against 0.29–0.33%). Body mass, clutch size, habitat breadth, diet</w:t>
      </w:r>
      <w:r>
        <w:t xml:space="preserve"> </w:t>
      </w:r>
      <w:r>
        <w:t xml:space="preserve">breadth, number of congeners, hand-wing index, IUCN status, endemism and trophic niche are all</w:t>
      </w:r>
      <w:r>
        <w:t xml:space="preserve"> </w:t>
      </w:r>
      <w:r>
        <w:t xml:space="preserve">null — a contrast with the mammal study, where smaller-bodied, nocturnal and data-deficient</w:t>
      </w:r>
      <w:r>
        <w:t xml:space="preserve"> </w:t>
      </w:r>
      <w:r>
        <w:t xml:space="preserve">species were more likely to be newly recorded.</w:t>
      </w:r>
    </w:p>
    <w:p>
      <w:pPr>
        <w:pStyle w:val="BodyText"/>
      </w:pPr>
      <w:r>
        <w:t xml:space="preserve">Pooling all species conceals two group-specific patterns that a stratified fit recovers</w:t>
      </w:r>
      <w:r>
        <w:t xml:space="preserve"> </w:t>
      </w:r>
      <w:r>
        <w:t xml:space="preserve">(Supplementary Fig. S4alt a, b; Supplementary Table S6). Splitting taxonomically, range size acts within Passeriformes</w:t>
      </w:r>
      <w:r>
        <w:t xml:space="preserve"> </w:t>
      </w:r>
      <w:r>
        <w:t xml:space="preserve">(1.53,</w:t>
      </w:r>
      <w:r>
        <w:t xml:space="preserve"> </w:t>
      </w:r>
      <w:r>
        <w:rPr>
          <w:i/>
          <w:iCs/>
        </w:rPr>
        <w:t xml:space="preserve">P</w:t>
      </w:r>
      <w:r>
        <w:t xml:space="preserve"> </w:t>
      </w:r>
      <w:r>
        <w:t xml:space="preserve">= 0.0020) but not within non-passerines, whereas the partial-migrant effect is present</w:t>
      </w:r>
      <w:r>
        <w:t xml:space="preserve"> </w:t>
      </w:r>
      <w:r>
        <w:t xml:space="preserve">in both and is stronger outside the passerines (3.19,</w:t>
      </w:r>
      <w:r>
        <w:t xml:space="preserve"> </w:t>
      </w:r>
      <w:r>
        <w:rPr>
          <w:i/>
          <w:iCs/>
        </w:rPr>
        <w:t xml:space="preserve">P</w:t>
      </w:r>
      <w:r>
        <w:t xml:space="preserve"> </w:t>
      </w:r>
      <w:r>
        <w:t xml:space="preserve">= 3.3 × 10⁻⁴, against 2.01,</w:t>
      </w:r>
      <w:r>
        <w:t xml:space="preserve"> </w:t>
      </w:r>
      <w:r>
        <w:rPr>
          <w:i/>
          <w:iCs/>
        </w:rPr>
        <w:t xml:space="preserve">P</w:t>
      </w:r>
      <w:r>
        <w:t xml:space="preserve"> </w:t>
      </w:r>
      <w:r>
        <w:t xml:space="preserve">= 0.0081). Splitting instead by migratory strategy is more revealing. Among residents only</w:t>
      </w:r>
      <w:r>
        <w:t xml:space="preserve"> </w:t>
      </w:r>
      <w:r>
        <w:t xml:space="preserve">range size matters (1.60,</w:t>
      </w:r>
      <w:r>
        <w:t xml:space="preserve"> </w:t>
      </w:r>
      <w:r>
        <w:rPr>
          <w:i/>
          <w:iCs/>
        </w:rPr>
        <w:t xml:space="preserve">P</w:t>
      </w:r>
      <w:r>
        <w:t xml:space="preserve"> </w:t>
      </w:r>
      <w:r>
        <w:t xml:space="preserve">= 0.0042). Among full migrants neither range size nor migratory</w:t>
      </w:r>
      <w:r>
        <w:t xml:space="preserve"> </w:t>
      </w:r>
      <w:r>
        <w:t xml:space="preserve">class can act, and two traits that are null in the pooled model become significant: the hand-wing</w:t>
      </w:r>
      <w:r>
        <w:t xml:space="preserve"> </w:t>
      </w:r>
      <w:r>
        <w:t xml:space="preserve">index, a standard index of dispersal ability,</w:t>
      </w:r>
      <w:r>
        <w:t xml:space="preserve"> </w:t>
      </w:r>
      <w:r>
        <w:rPr>
          <w:i/>
          <w:iCs/>
        </w:rPr>
        <w:t xml:space="preserve">lowers</w:t>
      </w:r>
      <w:r>
        <w:t xml:space="preserve"> </w:t>
      </w:r>
      <w:r>
        <w:t xml:space="preserve">the odds (0.51,</w:t>
      </w:r>
      <w:r>
        <w:t xml:space="preserve"> </w:t>
      </w:r>
      <w:r>
        <w:rPr>
          <w:i/>
          <w:iCs/>
        </w:rPr>
        <w:t xml:space="preserve">P</w:t>
      </w:r>
      <w:r>
        <w:t xml:space="preserve"> </w:t>
      </w:r>
      <w:r>
        <w:t xml:space="preserve">= 3.8 × 10⁻⁴), and body</w:t>
      </w:r>
      <w:r>
        <w:t xml:space="preserve"> </w:t>
      </w:r>
      <w:r>
        <w:t xml:space="preserve">mass raises them (1.74,</w:t>
      </w:r>
      <w:r>
        <w:t xml:space="preserve"> </w:t>
      </w:r>
      <w:r>
        <w:rPr>
          <w:i/>
          <w:iCs/>
        </w:rPr>
        <w:t xml:space="preserve">P</w:t>
      </w:r>
      <w:r>
        <w:t xml:space="preserve"> </w:t>
      </w:r>
      <w:r>
        <w:t xml:space="preserve">= 0.0037). Both fit a vagrancy mechanism. A migrant with poor flight</w:t>
      </w:r>
      <w:r>
        <w:t xml:space="preserve"> </w:t>
      </w:r>
      <w:r>
        <w:t xml:space="preserve">efficiency is more easily displaced off its normal route, and a large-bodied bird sitting far</w:t>
      </w:r>
      <w:r>
        <w:t xml:space="preserve"> </w:t>
      </w:r>
      <w:r>
        <w:t xml:space="preserve">outside its range is more likely to be noticed and reported. The pooled model averages these</w:t>
      </w:r>
      <w:r>
        <w:t xml:space="preserve"> </w:t>
      </w:r>
      <w:r>
        <w:t xml:space="preserve">against residents, for whom neither applies, and returns zero for both.</w:t>
      </w:r>
    </w:p>
    <w:p>
      <w:pPr>
        <w:pStyle w:val="BodyText"/>
      </w:pPr>
      <w:r>
        <w:rPr>
          <w:i/>
          <w:iCs/>
        </w:rPr>
        <w:t xml:space="preserve">Imputed traits.</w:t>
      </w:r>
      <w:r>
        <w:t xml:space="preserve"> </w:t>
      </w:r>
      <w:r>
        <w:t xml:space="preserve">Trait gaps were filled by random forest, but the out-of-bag error for</w:t>
      </w:r>
      <w:r>
        <w:t xml:space="preserve"> </w:t>
      </w:r>
      <w:r>
        <w:t xml:space="preserve">continuous traits is no better than mean imputation (NRMSE 1.00; the categorical error is</w:t>
      </w:r>
      <w:r>
        <w:t xml:space="preserve"> </w:t>
      </w:r>
      <w:r>
        <w:t xml:space="preserve">acceptable at PFC 0.11), so imputed values are flagged per trait and should not be treated as</w:t>
      </w:r>
      <w:r>
        <w:t xml:space="preserve"> </w:t>
      </w:r>
      <w:r>
        <w:t xml:space="preserve">equivalent to measured ones. Only 51 of the 1,298 modelled species (3.9%) carry an imputed value</w:t>
      </w:r>
      <w:r>
        <w:t xml:space="preserve"> </w:t>
      </w:r>
      <w:r>
        <w:t xml:space="preserve">among the main-model traits, and 12 of those have a record. Refitting without them leaves the</w:t>
      </w:r>
      <w:r>
        <w:t xml:space="preserve"> </w:t>
      </w:r>
      <w:r>
        <w:t xml:space="preserve">conclusions intact: 17 of 20 terms retain the same sign and significance, and all three</w:t>
      </w:r>
      <w:r>
        <w:t xml:space="preserve"> </w:t>
      </w:r>
      <w:r>
        <w:t xml:space="preserve">significant effects survive — range size 1.456 → 1.309 (</w:t>
      </w:r>
      <w:r>
        <w:rPr>
          <w:i/>
          <w:iCs/>
        </w:rPr>
        <w:t xml:space="preserve">P</w:t>
      </w:r>
      <w:r>
        <w:t xml:space="preserve"> </w:t>
      </w:r>
      <w:r>
        <w:t xml:space="preserve">1.1 × 10⁻⁴ → 4.5 × 10⁻³), partial</w:t>
      </w:r>
      <w:r>
        <w:t xml:space="preserve"> </w:t>
      </w:r>
      <w:r>
        <w:t xml:space="preserve">migrant 1.889 → 2.200 (9.7 × 10⁻⁴ → 6.5 × 10⁻⁵), open habitat 0.541 → 0.598 (2.1 × 10⁻³ →</w:t>
      </w:r>
      <w:r>
        <w:t xml:space="preserve"> </w:t>
      </w:r>
      <w:r>
        <w:t xml:space="preserve">1.1 × 10⁻²). One caveat belongs with this: on the reduced subset the phylogenetic logistic</w:t>
      </w:r>
      <w:r>
        <w:t xml:space="preserve"> </w:t>
      </w:r>
      <w:r>
        <w:t xml:space="preserve">regression reports α at its upper bound and fails to converge cleanly. The full model’s α of 0.597</w:t>
      </w:r>
      <w:r>
        <w:t xml:space="preserve"> </w:t>
      </w:r>
      <w:r>
        <w:t xml:space="preserve">is already close to that bound of 0.620, which indicates weak phylogenetic signal at this scale</w:t>
      </w:r>
      <w:r>
        <w:t xml:space="preserve"> </w:t>
      </w:r>
      <w:r>
        <w:t xml:space="preserve">rather than a problem specific to the subset. We therefore repeated the sensitivity under</w:t>
      </w:r>
      <w:r>
        <w:t xml:space="preserve"> </w:t>
      </w:r>
      <w:r>
        <w:t xml:space="preserve">taxonomic nesting and phylogenetic eigenvectors, which converge normally and return the same two</w:t>
      </w:r>
      <w:r>
        <w:t xml:space="preserve"> </w:t>
      </w:r>
      <w:r>
        <w:t xml:space="preserve">headline effects (partial migrant 2.59 and 2.57, both</w:t>
      </w:r>
      <w:r>
        <w:t xml:space="preserve"> </w:t>
      </w:r>
      <w:r>
        <w:rPr>
          <w:i/>
          <w:iCs/>
        </w:rPr>
        <w:t xml:space="preserve">P</w:t>
      </w:r>
      <w:r>
        <w:t xml:space="preserve"> </w:t>
      </w:r>
      <w:r>
        <w:t xml:space="preserve">&lt; 5 × 10⁻⁶; range size 1.22,</w:t>
      </w:r>
      <w:r>
        <w:t xml:space="preserve"> </w:t>
      </w:r>
      <w:r>
        <w:rPr>
          <w:i/>
          <w:iCs/>
        </w:rPr>
        <w:t xml:space="preserve">P</w:t>
      </w:r>
      <w:r>
        <w:t xml:space="preserve"> </w:t>
      </w:r>
      <w:r>
        <w:t xml:space="preserve">= 0.041).</w:t>
      </w:r>
    </w:p>
    <w:p>
      <w:pPr>
        <w:pStyle w:val="BodyText"/>
      </w:pPr>
      <w:r>
        <w:t xml:space="preserve">Range size must be measured as an</w:t>
      </w:r>
      <w:r>
        <w:t xml:space="preserve"> </w:t>
      </w:r>
      <w:r>
        <w:rPr>
          <w:b/>
          <w:bCs/>
        </w:rPr>
        <w:t xml:space="preserve">area</w:t>
      </w:r>
      <w:r>
        <w:t xml:space="preserve">, not as a count of provinces occupied (Supplementary Fig. S4c;</w:t>
      </w:r>
      <w:r>
        <w:t xml:space="preserve"> </w:t>
      </w:r>
      <w:r>
        <w:t xml:space="preserve">Supplementary Table S4). Both area measures are independent of the response and agree: global range area gives</w:t>
      </w:r>
      <w:r>
        <w:t xml:space="preserve"> </w:t>
      </w:r>
      <w:r>
        <w:t xml:space="preserve">an odds ratio of 1.456 (95% CI 1.204–1.762,</w:t>
      </w:r>
      <w:r>
        <w:t xml:space="preserve"> </w:t>
      </w:r>
      <w:r>
        <w:rPr>
          <w:i/>
          <w:iCs/>
        </w:rPr>
        <w:t xml:space="preserve">P</w:t>
      </w:r>
      <w:r>
        <w:t xml:space="preserve"> </w:t>
      </w:r>
      <w:r>
        <w:t xml:space="preserve">= 1.1 × 10⁻⁴, n = 1,298) and Chinese range area,</w:t>
      </w:r>
      <w:r>
        <w:t xml:space="preserve"> </w:t>
      </w:r>
      <w:r>
        <w:t xml:space="preserve">taken from BirdLife polygons clipped to China, gives 1.653 (1.420–1.925,</w:t>
      </w:r>
      <w:r>
        <w:t xml:space="preserve"> </w:t>
      </w:r>
      <w:r>
        <w:rPr>
          <w:i/>
          <w:iCs/>
        </w:rPr>
        <w:t xml:space="preserve">P</w:t>
      </w:r>
      <w:r>
        <w:t xml:space="preserve"> </w:t>
      </w:r>
      <w:r>
        <w:t xml:space="preserve">= 9.0 × 10⁻¹¹,</w:t>
      </w:r>
      <w:r>
        <w:t xml:space="preserve"> </w:t>
      </w:r>
      <w:r>
        <w:t xml:space="preserve">n = 1,003). The count of provinces occupied does not qualify: the trait database was published in</w:t>
      </w:r>
      <w:r>
        <w:t xml:space="preserve"> </w:t>
      </w:r>
      <w:r>
        <w:t xml:space="preserve">2022 and its provincial counts therefore already contain the 2002–2021 records used as the</w:t>
      </w:r>
      <w:r>
        <w:t xml:space="preserve"> </w:t>
      </w:r>
      <w:r>
        <w:t xml:space="preserve">response. Species with a new record occupy a median of 14 provinces against 4 for those without,</w:t>
      </w:r>
      <w:r>
        <w:t xml:space="preserve"> </w:t>
      </w:r>
      <w:r>
        <w:t xml:space="preserve">that variable returns an odds ratio of 2.09 (</w:t>
      </w:r>
      <w:r>
        <w:rPr>
          <w:i/>
          <w:iCs/>
        </w:rPr>
        <w:t xml:space="preserve">P</w:t>
      </w:r>
      <w:r>
        <w:t xml:space="preserve"> </w:t>
      </w:r>
      <w:r>
        <w:t xml:space="preserve">= 5 × 10⁻¹⁵), and it absorbs the area effect</w:t>
      </w:r>
      <w:r>
        <w:t xml:space="preserve"> </w:t>
      </w:r>
      <w:r>
        <w:t xml:space="preserve">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w:t>
      </w:r>
      <w:r>
        <w:t xml:space="preserve"> </w:t>
      </w:r>
      <w:r>
        <w:t xml:space="preserve">(dispersion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w:t>
      </w:r>
      <w:r>
        <w:t xml:space="preserve"> </w:t>
      </w:r>
      <w:r>
        <w:t xml:space="preserve">and passes simulation-based diagnostics (Supplementary Fig. S5a; Supplementary Table S5). In the count model only regional</w:t>
      </w:r>
      <w:r>
        <w:t xml:space="preserve"> </w:t>
      </w:r>
      <w:r>
        <w:t xml:space="preserve">species richness is significant (incidence rate ratio 1.27,</w:t>
      </w:r>
      <w:r>
        <w:t xml:space="preserve"> </w:t>
      </w:r>
      <w:r>
        <w:rPr>
          <w:i/>
          <w:iCs/>
        </w:rPr>
        <w:t xml:space="preserve">P</w:t>
      </w:r>
      <w:r>
        <w:t xml:space="preserve"> </w:t>
      </w:r>
      <w:r>
        <w:t xml:space="preserve">= 0.036). The informative model is</w:t>
      </w:r>
      <w:r>
        <w:t xml:space="preserve"> </w:t>
      </w:r>
      <w:r>
        <w:t xml:space="preserve">the one that treats recent survey effort as an offset, so that the response becomes the discovery</w:t>
      </w:r>
      <w:r>
        <w:t xml:space="preserve"> </w:t>
      </w:r>
      <w:r>
        <w:t xml:space="preserve">rate per unit of effort: there, provinces already well covered in 2002–2008 yield fewer records</w:t>
      </w:r>
      <w:r>
        <w:t xml:space="preserve"> </w:t>
      </w:r>
      <w:r>
        <w:t xml:space="preserve">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w:t>
      </w:r>
      <w:r>
        <w:t xml:space="preserve"> </w:t>
      </w:r>
      <w:r>
        <w:t xml:space="preserve">(Supplementary Fig. S5b). Hierarchical partitioning attributes 51.2% of the explained deviance to species</w:t>
      </w:r>
      <w:r>
        <w:t xml:space="preserve"> </w:t>
      </w:r>
      <w:r>
        <w:t xml:space="preserve">richness, 33.3% to area and 9% to the two effort terms combined, with the full model explaining</w:t>
      </w:r>
      <w:r>
        <w:t xml:space="preserve"> </w:t>
      </w:r>
      <w:r>
        <w:t xml:space="preserve">20.5% of deviance (Supplementary Fig. S5c).</w:t>
      </w:r>
    </w:p>
    <w:p>
      <w:pPr>
        <w:pStyle w:val="BodyText"/>
      </w:pPr>
      <w:r>
        <w:t xml:space="preserve">Effort therefore appears at the provincial scale not as a count effect but as diminishing</w:t>
      </w:r>
      <w:r>
        <w:t xml:space="preserve"> </w:t>
      </w:r>
      <w:r>
        <w:t xml:space="preserve">returns — the same signal the hazard model shows as an effort coefficient that falls through time.</w:t>
      </w:r>
      <w:r>
        <w:t xml:space="preserve"> </w:t>
      </w:r>
      <w:r>
        <w:t xml:space="preserve">Two analyses at different levels, on different response variables, converge on the conclusion that</w:t>
      </w:r>
      <w:r>
        <w:t xml:space="preserve"> </w:t>
      </w:r>
      <w:r>
        <w:t xml:space="preserve">China’s observational capacity is now large enough that additional effort recovers progressively</w:t>
      </w:r>
      <w:r>
        <w:t xml:space="preserve"> </w:t>
      </w:r>
      <w:r>
        <w:t xml:space="preserve">less of what remains undocumented.</w:t>
      </w:r>
    </w:p>
    <w:p>
      <w:pPr>
        <w:pStyle w:val="BodyText"/>
      </w:pPr>
      <w:r>
        <w:t xml:space="preserve">One adaptation must be stated. The mammal study measured historical survey effort as publication</w:t>
      </w:r>
      <w:r>
        <w:t xml:space="preserve"> </w:t>
      </w:r>
      <w:r>
        <w:t xml:space="preserve">counts for 1949–2000. No bird analogue exists in these data: the observation database holds seven</w:t>
      </w:r>
      <w:r>
        <w:t xml:space="preserve"> </w:t>
      </w:r>
      <w:r>
        <w:t xml:space="preserve">reports before 2000 and 29 of 31 provinces have none. Early (2002–2008) and recent (2009–2024)</w:t>
      </w:r>
      <w:r>
        <w:t xml:space="preserve"> </w:t>
      </w:r>
      <w:r>
        <w:t xml:space="preserve">coverage therefore take that role, which preserves the question — do provinces already well</w:t>
      </w:r>
      <w:r>
        <w:t xml:space="preserve"> </w:t>
      </w:r>
      <w:r>
        <w:t xml:space="preserve">covered show diminishing returns? — on a shorter timescale than the original.</w:t>
      </w:r>
    </w:p>
    <w:bookmarkEnd w:id="12"/>
    <w:bookmarkStart w:id="13" w:name="supplementary-note-s5.-robustness-detail"/>
    <w:p>
      <w:pPr>
        <w:pStyle w:val="Heading3"/>
      </w:pPr>
      <w:r>
        <w:t xml:space="preserve">Supplementary Note S5. Robustness detail</w:t>
      </w:r>
    </w:p>
    <w:p>
      <w:pPr>
        <w:pStyle w:val="FirstParagraph"/>
      </w:pPr>
      <w:r>
        <w:t xml:space="preserve">The conclusions do not depend on any freely chosen analytical decision (Fig. 6).</w:t>
      </w:r>
    </w:p>
    <w:p>
      <w:pPr>
        <w:pStyle w:val="BodyText"/>
      </w:pPr>
      <w:r>
        <w:rPr>
          <w:i/>
          <w:iCs/>
        </w:rPr>
        <w:t xml:space="preserve">Species-distribution-model threshold.</w:t>
      </w:r>
      <w:r>
        <w:t xml:space="preserve"> </w:t>
      </w:r>
      <w:r>
        <w:t xml:space="preserve">A province enters a species’ candidate pool when the species distribution model marks at least a threshold number of suitable cells inside it. Cells are those of the 2.5-arc-minute climate surface and have a median area of 18.3 km², so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 Annual mean temperature integrates the whole thermal regime, whereas seasonal extremes describe conditions that constrain overwintering or breeding but not the year-round climatic envelope within which a range boundary sits.</w:t>
      </w:r>
    </w:p>
    <w:p>
      <w:pPr>
        <w:pStyle w:val="BodyText"/>
      </w:pPr>
      <w:r>
        <w:rPr>
          <w:i/>
          <w:iCs/>
        </w:rPr>
        <w:t xml:space="preserve">Accumulation window and climate baseline.</w:t>
      </w:r>
      <w:r>
        <w:t xml:space="preserve"> </w:t>
      </w:r>
      <w:r>
        <w:t xml:space="preserve">Both are analyst choices rather than data-determined ones, so we tested them jointly at windows of 5, 10, 15 and 20 years against the two baselines in common use for this kind of anomaly, 1980–2000 and 1970–2000 (Supplementary Fig. S2).</w:t>
      </w:r>
    </w:p>
    <w:p>
      <w:pPr>
        <w:pStyle w:val="BodyText"/>
      </w:pPr>
      <w:r>
        <w:t xml:space="preserve">The 1970–2000 baseline cannot be computed from the WorldClim 2.1 downscaling used in the main analysis, which begins in 1980. We therefore rebuilt the entire climate chain from CRU TS 4.09 at its native 0.5°, which reaches back to 1901, and fitted</w:t>
      </w:r>
      <w:r>
        <w:t xml:space="preserve"> </w:t>
      </w:r>
      <w:r>
        <w:rPr>
          <w:i/>
          <w:iCs/>
        </w:rPr>
        <w:t xml:space="preserve">both</w:t>
      </w:r>
      <w:r>
        <w:t xml:space="preserve"> </w:t>
      </w:r>
      <w:r>
        <w:t xml:space="preserve">baselines on it. This separates two things that would otherwise be confounded: comparing WorldClim 1980–2000 with CRU 1980–2000 isolates the effect of changing data source and resolution, and comparing CRU 1980–2000 with CRU 1970–2000 isolates the effect of the baseline period itself.</w:t>
      </w:r>
    </w:p>
    <w:p>
      <w:pPr>
        <w:pStyle w:val="BodyText"/>
      </w:pPr>
      <w:r>
        <w:t xml:space="preserve">Three results follow, and each has an ecological reading rather than being merely a robustness statement.</w:t>
      </w:r>
    </w:p>
    <w:p>
      <w:pPr>
        <w:pStyle w:val="BodyText"/>
      </w:pPr>
      <w:r>
        <w:t xml:space="preserve">First, the warming coefficient rises with window length in every series, from about 1.16–1.21 at five years to 1.36–1.40 at twenty years (Supplementary Fig. S2a).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(Supplementary Table S8) places the optimum at 18–20 years with AIC rising again by 23 years, so the optimum is interior rather than an artefact of the tested range. We retain 15 years as pre-specified; it lies within 2.2–5.6 AIC units of the optimum in every series.</w:t>
      </w:r>
    </w:p>
    <w:p>
      <w:pPr>
        <w:pStyle w:val="BodyText"/>
      </w:pPr>
      <w:r>
        <w:t xml:space="preserve">Second, the effort coefficient is flat at 1.34–1.41 across all twelve combinations (Supplementary Fig. S2b), and the interaction is negative throughout (0.87–1.00; Supplementary Fig. S2c). If the climate and effort terms were competing for the same variance, changing the climate specification would move the effort estimate. It does not, which is direct evidence that the two are separately identified.</w:t>
      </w:r>
    </w:p>
    <w:p>
      <w:pPr>
        <w:pStyle w:val="BodyText"/>
      </w:pPr>
      <w:r>
        <w:t xml:space="preserve">Third, the choice between the two baselines is immaterial, and if anything the longer one strengthens the result: at</w:t>
      </w:r>
      <w:r>
        <w:t xml:space="preserve"> </w:t>
      </w:r>
      <w:r>
        <w:rPr>
          <w:i/>
          <w:iCs/>
        </w:rPr>
        <w:t xml:space="preserve">W</w:t>
      </w:r>
      <w:r>
        <w:t xml:space="preserve"> </w:t>
      </w:r>
      <w:r>
        <w:t xml:space="preserve">= 15 the hazard ratio is 1.361 under CRU 1970–2000 against 1.307 under CRU 1980–2000, and the main WorldClim 1980–2000 estimate of 1.362 sits between the two. Changing data source and resolution moves the estimate by a similar small amount (1.362 to 1.307), so neither choice is decisive. One caveat follows from the resolution difference and matters for interpretation: because the 0.5° CRU grid smooths the sub-grid topographic variation that the 10-arc-minute downscaling retains, one standard deviation of accumulated warming is 0.058 °C in the CRU series against 0.179 °C in the main one. Standardised hazard ratios remain comparable, but the natural-unit statements in this paper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Because the three missing-data rules yield different sample sizes, AIC is not comparable across them and we compare coefficients only.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13"/>
    <w:bookmarkStart w:id="14" w:name="Xa43285e19d16f91e07762bb6daf0e1c89439530"/>
    <w:p>
      <w:pPr>
        <w:pStyle w:val="Heading3"/>
      </w:pPr>
      <w:r>
        <w:t xml:space="preserve">Supplementary Note S6. Permutation nulls, bootstraps and model adequacy</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p>
      <w:pPr>
        <w:pStyle w:val="BodyText"/>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(Supplementary Fig. S11).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which is null under the design as it is in the fitted model (</w:t>
      </w:r>
      <w:r>
        <w:rPr>
          <w:i/>
          <w:iCs/>
        </w:rPr>
        <w:t xml:space="preserve">P</w:t>
      </w:r>
      <w:r>
        <w:t xml:space="preserve"> </w:t>
      </w:r>
      <w:r>
        <w:t xml:space="preserve">= 0.16 and 0.31). A cluster bootstrap of 300 resamples shows that provincial clustering inflates the standard errors by a factor of 1.26–1.59 relative to the model-based values, whereas species clustering does not (0.86–1.17); Table 2 therefore reports both intervals. A parametric bootstrap of 150 simulations recovers the coefficients with absolute bias below 0.01 on the log-hazard scale and gives actual coverage of 91.3–95.3% for the nominal 95% interval, consistent with the cluster result. Leaving out each province in turn, and each of ten species deciles, moves the coefficients by at most 4.2%, with 9 of 164 combinations exceeding 3%: no single province or species group carries the result.</w:t>
      </w:r>
    </w:p>
    <w:p>
      <w:pPr>
        <w:pStyle w:val="BodyText"/>
      </w:pPr>
      <w:r>
        <w:t xml:space="preserve">The proportional-hazards assumption holds for the focal climate term: the interaction between accumulated warming and time is negligible (β = −0.022,</w:t>
      </w:r>
      <w:r>
        <w:t xml:space="preserve"> </w:t>
      </w:r>
      <w:r>
        <w:rPr>
          <w:i/>
          <w:iCs/>
        </w:rPr>
        <w:t xml:space="preserve">P</w:t>
      </w:r>
      <w:r>
        <w:t xml:space="preserve"> </w:t>
      </w:r>
      <w:r>
        <w:t xml:space="preserve">= 0.82). It does not hold for effort (β = −0.211,</w:t>
      </w:r>
      <w:r>
        <w:t xml:space="preserve"> </w:t>
      </w:r>
      <w:r>
        <w:rPr>
          <w:i/>
          <w:iCs/>
        </w:rPr>
        <w:t xml:space="preserve">P</w:t>
      </w:r>
      <w:r>
        <w:t xml:space="preserve"> </w:t>
      </w:r>
      <w:r>
        <w:t xml:space="preserve">= 7.7 × 10⁻⁴), which is a substantive result rather than a diagnostic failure: the marginal return of an additional standard deviation of survey effort has declined over 2002–2024, consistent with the progressive saturation of easily detectable gaps. In a model that allows both effects to vary through time, the fixed effects are unchanged in direction and magnitude (effort 1.527, warming 1.369, variability 0.996), and only the interaction loses significance (0.864,</w:t>
      </w:r>
      <w:r>
        <w:t xml:space="preserve"> </w:t>
      </w:r>
      <w:r>
        <w:rPr>
          <w:i/>
          <w:iCs/>
        </w:rPr>
        <w:t xml:space="preserve">P</w:t>
      </w:r>
      <w:r>
        <w:t xml:space="preserve"> </w:t>
      </w:r>
      <w:r>
        <w:t xml:space="preserve">= 0.12).</w:t>
      </w:r>
    </w:p>
    <w:bookmarkEnd w:id="14"/>
    <w:bookmarkStart w:id="15" w:name="Xcc392e353c5d5094d84fd98da1857b98e4d2657"/>
    <w:p>
      <w:pPr>
        <w:pStyle w:val="Heading3"/>
      </w:pPr>
      <w:r>
        <w:t xml:space="preserve">Supplementary Note S7. Projection design and covariate support</w:t>
      </w:r>
    </w:p>
    <w:p>
      <w:pPr>
        <w:pStyle w:val="FirstParagraph"/>
      </w:pPr>
      <w:r>
        <w:t xml:space="preserve">We projected the fitted hazard under CMIP6 SSP2-4.5 and SSP5-8.5 for 2030, 2050 and 2080, applying the four-model ensemble delta to both the provincial and the species-range end of the climate gradient — applying it to one end only would create a climate signal from spatially uniform warming — and growing effort at scenario-differentiated rates. We then asked how much of each scenario lies inside the range over which the model was fitted (Fig. 7b).</w:t>
      </w:r>
    </w:p>
    <w:p>
      <w:pPr>
        <w:pStyle w:val="BodyText"/>
      </w:pPr>
      <w:r>
        <w:t xml:space="preserve">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 We regard the masked surfaces as the defensible result and the unmasked ones as an illustration of how far the extrapolation reaches.</w:t>
      </w:r>
    </w:p>
    <w:p>
      <w:pPr>
        <w:pStyle w:val="BodyText"/>
      </w:pPr>
      <w:r>
        <w:t xml:space="preserve">A gradient-boosted comparison model trained on the same three predictors reinforces the point. Within the observed range the two model families track each other across province-years (Spearman ρ = 0.54). Outside it they diverge completely: rank correlations across province-scenario cells range from −0.04 to 0.18, and the two agree on the direction of change in only 23.7% of cells, falling to 6.5% under SSP5-8.5 in 2080. The mechanistic model projects increases in 176 of 186 cells; the machine-learning model in 42. The cause is structural: tree ensembles return boundary leaf values once covariates leave the training support and therefore saturate, whereas the complementary log-log model extrapolates linearly on the log-hazard scale. Neither behaviour is validated by the data. TreeSHAP attributions within the training range are monotone increasing for both warming and effort (Supplementary Fig. S8), consistent with the mechanistic coefficients.</w:t>
      </w:r>
    </w:p>
    <w:p>
      <w:pPr>
        <w:pStyle w:val="BodyText"/>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15"/>
    <w:bookmarkStart w:id="16" w:name="X0c41b72a8c86c973fd81680d35c6f7cc5757d37"/>
    <w:p>
      <w:pPr>
        <w:pStyle w:val="Heading3"/>
      </w:pPr>
      <w:r>
        <w:t xml:space="preserve">Supplementary Note S8. Model families, prediction scales and independent climate × effort scenarios</w:t>
      </w:r>
    </w:p>
    <w:p>
      <w:pPr>
        <w:pStyle w:val="FirstParagraph"/>
      </w:pPr>
      <w:r>
        <w:t xml:space="preserve">Treating climate and survey effort as independent scenario axes separates their leverage on future record generation (Supplementary Fig. S16). With effort frozen at its 2024 level, switching from SSP2-4.5 to SSP5-8.5 leaves the national expectation essentially unchanged (23.2 versus 23.1 first records per year in 2030; 23.6 versus 23.7 in 2050). Allowing effort to keep growing at 0.6 SD per decade—half the observed 2002–2024 pace—raises the 2050 expectation to 57–62 records per year, but only 2% of species–province cells then remain inside the fitted covariate support, against 40–44% under frozen effort. The projected record stream is therefore governed by the survey-effort scenario rather than the climate scenario, and the effort-driven increase lies almost entirely outside the range in which the model can be trusted.</w:t>
      </w:r>
    </w:p>
    <w:p>
      <w:pPr>
        <w:pStyle w:val="BodyText"/>
      </w:pPr>
      <w:r>
        <w:t xml:space="preserve">Two further tree-ensemble families fitted under identical validation designs behave like the gradient-boosted model: a random forest and XGBoost lead the mechanistic model on leave-species folds (PR-AUC 0.0120 and 0.0118 versus 0.0054) but fall behind it on temporal forward-prediction (0.0067 and 0.0072 versus 0.0098) and on leave-one-province allocation at county level (rank percentile 0.31 and 0.35 versus 0.28; Supplementary Fig. S17). The three families nevertheless agree on where the next records will fall: Spearman ρ between their 2024 prediction surfaces is 0.62–0.90 across province, prefecture and county (Supplementary Fig. S18). Run through the same scenario grid, however, the families diverge sharply in how much scenarios matter (Extended Data Figs 10, 11). After calibrating all three to the same 2024 national total (22.4 records per year), the mechanistic model rises to 57.4 records per year under SSP2-4.5 with continued effort growth in 2050, whereas the random forest stays locked at 23.0 and XGBoost falls to 6.1. Both ensembles return boundary leaf values once year and effort leave the training range, so their projected trend—flat in one case, reversed in the other—is an artefact of the algorithm rather than an estimate that the data can adjudicate.</w:t>
      </w:r>
    </w:p>
    <w:p>
      <w:pPr>
        <w:pStyle w:val="BodyText"/>
      </w:pPr>
      <w:r>
        <w:t xml:space="preserve">The projection comparison used a gradient-boosted model (XGBoost, 400 rounds, learning rate 0.05, depth 4)</w:t>
      </w:r>
      <w:r>
        <w:rPr>
          <w:vertAlign w:val="superscript"/>
        </w:rPr>
        <w:t xml:space="preserve">36</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16"/>
    <w:bookmarkEnd w:id="17"/>
    <w:bookmarkStart w:id="26" w:name="supplementary-tables"/>
    <w:p>
      <w:pPr>
        <w:pStyle w:val="Heading2"/>
      </w:pPr>
      <w:r>
        <w:t xml:space="preserve">Supplementary Tables</w:t>
      </w:r>
    </w:p>
    <w:bookmarkStart w:id="18" w:name="X6b4bb85a6b8e3874cc8b2fc465932d1354ae1cd"/>
    <w:p>
      <w:pPr>
        <w:pStyle w:val="Heading3"/>
      </w:pPr>
      <w:r>
        <w:t xml:space="preserve">Supplementary Table S1. Model adequacy checks</w:t>
      </w:r>
    </w:p>
    <w:p>
      <w:pPr>
        <w:pStyle w:val="FirstParagraph"/>
      </w:pPr>
      <w:r>
        <w:t xml:space="preserve">Model adequacy.</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Check</w:t>
            </w:r>
          </w:p>
        </w:tc>
        <w:tc>
          <w:tcPr/>
          <w:p>
            <w:pPr>
              <w:pStyle w:val="Compact"/>
              <w:spacing w:line="240" w:lineRule="auto" w:after="0"/>
            </w:pPr>
            <w:r>
              <w:rPr>
                <w:rFonts w:ascii="Times New Roman" w:hAnsi="Times New Roman"/>
                <w:sz w:val="16"/>
              </w:rPr>
              <w:t xml:space="preserve">Statistic</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Reading</w:t>
            </w:r>
          </w:p>
        </w:tc>
      </w:tr>
      <w:tr>
        <w:tc>
          <w:tcPr/>
          <w:p>
            <w:pPr>
              <w:pStyle w:val="Compact"/>
              <w:spacing w:line="240" w:lineRule="auto" w:after="0"/>
            </w:pPr>
            <w:r>
              <w:rPr>
                <w:rFonts w:ascii="Times New Roman" w:hAnsi="Times New Roman"/>
                <w:sz w:val="16"/>
              </w:rPr>
              <w:t xml:space="preserve">KS uniformity</w:t>
            </w:r>
          </w:p>
        </w:tc>
        <w:tc>
          <w:tcPr/>
          <w:p>
            <w:pPr>
              <w:pStyle w:val="Compact"/>
              <w:spacing w:line="240" w:lineRule="auto" w:after="0"/>
            </w:pPr>
            <w:r>
              <w:rPr>
                <w:rFonts w:ascii="Times New Roman" w:hAnsi="Times New Roman"/>
                <w:sz w:val="16"/>
              </w:rPr>
              <w:t xml:space="preserve">0.0016</w:t>
            </w:r>
          </w:p>
        </w:tc>
        <w:tc>
          <w:tcPr/>
          <w:p>
            <w:pPr>
              <w:pStyle w:val="Compact"/>
              <w:spacing w:line="240" w:lineRule="auto" w:after="0"/>
            </w:pPr>
            <w:r>
              <w:rPr>
                <w:rFonts w:ascii="Times New Roman" w:hAnsi="Times New Roman"/>
                <w:sz w:val="16"/>
              </w:rPr>
              <w:t xml:space="preserve">0.74</w:t>
            </w:r>
          </w:p>
        </w:tc>
        <w:tc>
          <w:tcPr/>
          <w:p>
            <w:pPr>
              <w:pStyle w:val="Compact"/>
              <w:spacing w:line="240" w:lineRule="auto" w:after="0"/>
            </w:pPr>
            <w:r>
              <w:rPr>
                <w:rFonts w:ascii="Times New Roman" w:hAnsi="Times New Roman"/>
                <w:sz w:val="16"/>
              </w:rPr>
              <w:t xml:space="preserve">calibrated</w:t>
            </w:r>
          </w:p>
        </w:tc>
      </w:tr>
      <w:tr>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sz w:val="16"/>
              </w:rPr>
              <w:t xml:space="preserve">0.947</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correct</w:t>
            </w:r>
          </w:p>
        </w:tc>
      </w:tr>
      <w:tr>
        <w:tc>
          <w:tcPr/>
          <w:p>
            <w:pPr>
              <w:pStyle w:val="Compact"/>
              <w:spacing w:line="240" w:lineRule="auto" w:after="0"/>
            </w:pPr>
            <w:r>
              <w:rPr>
                <w:rFonts w:ascii="Times New Roman" w:hAnsi="Times New Roman"/>
                <w:sz w:val="16"/>
              </w:rPr>
              <w:t xml:space="preserve">Zero inflation</w:t>
            </w:r>
          </w:p>
        </w:tc>
        <w:tc>
          <w:tcPr/>
          <w:p>
            <w:pPr>
              <w:pStyle w:val="Compact"/>
              <w:spacing w:line="240" w:lineRule="auto" w:after="0"/>
            </w:pPr>
            <w:r>
              <w:rPr>
                <w:rFonts w:ascii="Times New Roman" w:hAnsi="Times New Roman"/>
                <w:sz w:val="16"/>
              </w:rPr>
              <w:t xml:space="preserve">1.000</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none</w:t>
            </w:r>
          </w:p>
        </w:tc>
      </w:tr>
      <w:tr>
        <w:tc>
          <w:tcPr/>
          <w:p>
            <w:pPr>
              <w:pStyle w:val="Compact"/>
              <w:spacing w:line="240" w:lineRule="auto" w:after="0"/>
            </w:pPr>
            <w:r>
              <w:rPr>
                <w:rFonts w:ascii="Times New Roman" w:hAnsi="Times New Roman"/>
                <w:sz w:val="16"/>
              </w:rPr>
              <w:t xml:space="preserve">Outliers</w:t>
            </w:r>
          </w:p>
        </w:tc>
        <w:tc>
          <w:tcPr/>
          <w:p>
            <w:pPr>
              <w:pStyle w:val="Compact"/>
              <w:spacing w:line="240" w:lineRule="auto" w:after="0"/>
            </w:pPr>
            <w:r>
              <w:rPr>
                <w:rFonts w:ascii="Times New Roman" w:hAnsi="Times New Roman"/>
                <w:sz w:val="16"/>
              </w:rPr>
              <w:t xml:space="preserve">95</w:t>
            </w:r>
          </w:p>
        </w:tc>
        <w:tc>
          <w:tcPr/>
          <w:p>
            <w:pPr>
              <w:pStyle w:val="Compact"/>
              <w:spacing w:line="240" w:lineRule="auto" w:after="0"/>
            </w:pPr>
            <w:r>
              <w:rPr>
                <w:rFonts w:ascii="Times New Roman" w:hAnsi="Times New Roman"/>
                <w:sz w:val="16"/>
              </w:rPr>
              <w:t xml:space="preserve">&lt; 0.001</w:t>
            </w:r>
          </w:p>
        </w:tc>
        <w:tc>
          <w:tcPr/>
          <w:p>
            <w:pPr>
              <w:pStyle w:val="Compact"/>
              <w:spacing w:line="240" w:lineRule="auto" w:after="0"/>
            </w:pPr>
            <w:r>
              <w:rPr>
                <w:rFonts w:ascii="Times New Roman" w:hAnsi="Times New Roman"/>
                <w:sz w:val="16"/>
              </w:rPr>
              <w:t xml:space="preserve">expected at 0.37% event rate</w:t>
            </w:r>
          </w:p>
        </w:tc>
      </w:tr>
      <w:tr>
        <w:tc>
          <w:tcPr/>
          <w:p>
            <w:pPr>
              <w:pStyle w:val="Compact"/>
              <w:spacing w:line="240" w:lineRule="auto" w:after="0"/>
            </w:pPr>
            <w:r>
              <w:rPr>
                <w:rFonts w:ascii="Times New Roman" w:hAnsi="Times New Roman"/>
                <w:sz w:val="16"/>
              </w:rPr>
              <w:t xml:space="preserve">Grouped by year</w:t>
            </w:r>
          </w:p>
        </w:tc>
        <w:tc>
          <w:tcPr/>
          <w:p>
            <w:pPr>
              <w:pStyle w:val="Compact"/>
              <w:spacing w:line="240" w:lineRule="auto" w:after="0"/>
            </w:pPr>
            <w:r>
              <w:rPr>
                <w:rFonts w:ascii="Times New Roman" w:hAnsi="Times New Roman"/>
                <w:sz w:val="16"/>
              </w:rPr>
              <w:t xml:space="preserve">2 of 23 levels</w:t>
            </w:r>
          </w:p>
        </w:tc>
        <w:tc>
          <w:tcPr/>
          <w:p>
            <w:pPr>
              <w:pStyle w:val="Compact"/>
              <w:spacing w:line="240" w:lineRule="auto" w:after="0"/>
            </w:pPr>
            <w:r>
              <w:rPr>
                <w:rFonts w:ascii="Times New Roman" w:hAnsi="Times New Roman"/>
                <w:sz w:val="16"/>
              </w:rPr>
              <w:t xml:space="preserve">0.0018</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Grouped by province</w:t>
            </w:r>
          </w:p>
        </w:tc>
        <w:tc>
          <w:tcPr/>
          <w:p>
            <w:pPr>
              <w:pStyle w:val="Compact"/>
              <w:spacing w:line="240" w:lineRule="auto" w:after="0"/>
            </w:pPr>
            <w:r>
              <w:rPr>
                <w:rFonts w:ascii="Times New Roman" w:hAnsi="Times New Roman"/>
                <w:sz w:val="16"/>
              </w:rPr>
              <w:t xml:space="preserve">2 of 31 levels</w:t>
            </w:r>
          </w:p>
        </w:tc>
        <w:tc>
          <w:tcPr/>
          <w:p>
            <w:pPr>
              <w:pStyle w:val="Compact"/>
              <w:spacing w:line="240" w:lineRule="auto" w:after="0"/>
            </w:pPr>
            <w:r>
              <w:rPr>
                <w:rFonts w:ascii="Times New Roman" w:hAnsi="Times New Roman"/>
                <w:sz w:val="16"/>
              </w:rPr>
              <w:t xml:space="preserve">0.024</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Moran’s</w:t>
            </w:r>
            <w:r>
              <w:rPr>
                <w:rFonts w:ascii="Times New Roman" w:hAnsi="Times New Roman"/>
                <w:sz w:val="16"/>
              </w:rPr>
              <w:t xml:space="preserve"> </w:t>
            </w:r>
            <w:r>
              <w:rPr>
                <w:rFonts w:ascii="Times New Roman" w:hAnsi="Times New Roman"/>
                <w:i/>
                <w:iCs/>
                <w:sz w:val="16"/>
              </w:rPr>
              <w:t xml:space="preserve">I</w:t>
            </w:r>
          </w:p>
        </w:tc>
        <w:tc>
          <w:tcPr/>
          <w:p>
            <w:pPr>
              <w:pStyle w:val="Compact"/>
              <w:spacing w:line="240" w:lineRule="auto" w:after="0"/>
            </w:pPr>
            <w:r>
              <w:rPr>
                <w:rFonts w:ascii="Times New Roman" w:hAnsi="Times New Roman"/>
                <w:sz w:val="16"/>
              </w:rPr>
              <w:t xml:space="preserve">−0.038</w:t>
            </w:r>
          </w:p>
        </w:tc>
        <w:tc>
          <w:tcPr/>
          <w:p>
            <w:pPr>
              <w:pStyle w:val="Compact"/>
              <w:spacing w:line="240" w:lineRule="auto" w:after="0"/>
            </w:pPr>
            <w:r>
              <w:rPr>
                <w:rFonts w:ascii="Times New Roman" w:hAnsi="Times New Roman"/>
                <w:sz w:val="16"/>
              </w:rPr>
              <w:t xml:space="preserve">0.86</w:t>
            </w:r>
          </w:p>
        </w:tc>
        <w:tc>
          <w:tcPr/>
          <w:p>
            <w:pPr>
              <w:pStyle w:val="Compact"/>
              <w:spacing w:line="240" w:lineRule="auto" w:after="0"/>
            </w:pPr>
            <w:r>
              <w:rPr>
                <w:rFonts w:ascii="Times New Roman" w:hAnsi="Times New Roman"/>
                <w:sz w:val="16"/>
              </w:rPr>
              <w:t xml:space="preserve">no spatial structure</w:t>
            </w:r>
          </w:p>
        </w:tc>
      </w:tr>
      <w:tr>
        <w:tc>
          <w:tcPr/>
          <w:p>
            <w:pPr>
              <w:pStyle w:val="Compact"/>
              <w:spacing w:line="240" w:lineRule="auto" w:after="0"/>
            </w:pPr>
            <w:r>
              <w:rPr>
                <w:rFonts w:ascii="Times New Roman" w:hAnsi="Times New Roman"/>
                <w:sz w:val="16"/>
              </w:rPr>
              <w:t xml:space="preserve">PH: warming × time</w:t>
            </w:r>
          </w:p>
        </w:tc>
        <w:tc>
          <w:tcPr/>
          <w:p>
            <w:pPr>
              <w:pStyle w:val="Compact"/>
              <w:spacing w:line="240" w:lineRule="auto" w:after="0"/>
            </w:pPr>
            <w:r>
              <w:rPr>
                <w:rFonts w:ascii="Times New Roman" w:hAnsi="Times New Roman"/>
                <w:sz w:val="16"/>
              </w:rPr>
              <w:t xml:space="preserve">−0.022</w:t>
            </w:r>
          </w:p>
        </w:tc>
        <w:tc>
          <w:tcPr/>
          <w:p>
            <w:pPr>
              <w:pStyle w:val="Compact"/>
              <w:spacing w:line="240" w:lineRule="auto" w:after="0"/>
            </w:pPr>
            <w:r>
              <w:rPr>
                <w:rFonts w:ascii="Times New Roman" w:hAnsi="Times New Roman"/>
                <w:sz w:val="16"/>
              </w:rPr>
              <w:t xml:space="preserve">0.82</w:t>
            </w:r>
          </w:p>
        </w:tc>
        <w:tc>
          <w:tcPr/>
          <w:p>
            <w:pPr>
              <w:pStyle w:val="Compact"/>
              <w:spacing w:line="240" w:lineRule="auto" w:after="0"/>
            </w:pPr>
            <w:r>
              <w:rPr>
                <w:rFonts w:ascii="Times New Roman" w:hAnsi="Times New Roman"/>
                <w:sz w:val="16"/>
              </w:rPr>
              <w:t xml:space="preserve">assumption holds</w:t>
            </w:r>
          </w:p>
        </w:tc>
      </w:tr>
      <w:tr>
        <w:tc>
          <w:tcPr/>
          <w:p>
            <w:pPr>
              <w:pStyle w:val="Compact"/>
              <w:spacing w:line="240" w:lineRule="auto" w:after="0"/>
            </w:pPr>
            <w:r>
              <w:rPr>
                <w:rFonts w:ascii="Times New Roman" w:hAnsi="Times New Roman"/>
                <w:sz w:val="16"/>
              </w:rPr>
              <w:t xml:space="preserve">PH: effort × time</w:t>
            </w:r>
          </w:p>
        </w:tc>
        <w:tc>
          <w:tcPr/>
          <w:p>
            <w:pPr>
              <w:pStyle w:val="Compact"/>
              <w:spacing w:line="240" w:lineRule="auto" w:after="0"/>
            </w:pPr>
            <w:r>
              <w:rPr>
                <w:rFonts w:ascii="Times New Roman" w:hAnsi="Times New Roman"/>
                <w:sz w:val="16"/>
              </w:rPr>
              <w:t xml:space="preserve">−0.211</w:t>
            </w:r>
          </w:p>
        </w:tc>
        <w:tc>
          <w:tcPr/>
          <w:p>
            <w:pPr>
              <w:pStyle w:val="Compact"/>
              <w:spacing w:line="240" w:lineRule="auto" w:after="0"/>
            </w:pPr>
            <w:r>
              <w:rPr>
                <w:rFonts w:ascii="Times New Roman" w:hAnsi="Times New Roman"/>
                <w:sz w:val="16"/>
              </w:rPr>
              <w:t xml:space="preserve">7.7 × 10⁻⁴</w:t>
            </w:r>
          </w:p>
        </w:tc>
        <w:tc>
          <w:tcPr/>
          <w:p>
            <w:pPr>
              <w:pStyle w:val="Compact"/>
              <w:spacing w:line="240" w:lineRule="auto" w:after="0"/>
            </w:pPr>
            <w:r>
              <w:rPr>
                <w:rFonts w:ascii="Times New Roman" w:hAnsi="Times New Roman"/>
                <w:sz w:val="16"/>
              </w:rPr>
              <w:t xml:space="preserve">effort returns decline</w:t>
            </w:r>
          </w:p>
        </w:tc>
      </w:tr>
    </w:tbl>
    <w:bookmarkEnd w:id="18"/>
    <w:bookmarkStart w:id="19" w:name="X9e6da4cd42e6d70ee701ed47515989f43743833"/>
    <w:p>
      <w:pPr>
        <w:pStyle w:val="Heading3"/>
      </w:pPr>
      <w:r>
        <w:t xml:space="preserve">Supplementary Table S2. Ecological rationale for every model component</w:t>
      </w:r>
    </w:p>
    <w:p>
      <w:pPr>
        <w:pStyle w:val="FirstParagraph"/>
      </w:pPr>
      <w:r>
        <w:t xml:space="preserve">Ecological rationale for every component of the main model. Each row states why the</w:t>
      </w:r>
      <w:r>
        <w:t xml:space="preserve"> </w:t>
      </w:r>
      <w:r>
        <w:t xml:space="preserve">component is in the model, what its estimate means, and one falsifiable prediction the</w:t>
      </w:r>
      <w:r>
        <w:t xml:space="preserve"> </w:t>
      </w:r>
      <w:r>
        <w:t xml:space="preserve">specification implies. All predictions are tested in the paper. The full version, with the</w:t>
      </w:r>
      <w:r>
        <w:t xml:space="preserve"> </w:t>
      </w:r>
      <w:r>
        <w:t xml:space="preserve">prediction column, is</w:t>
      </w:r>
      <w:r>
        <w:t xml:space="preserve"> </w:t>
      </w:r>
      <w:r>
        <w:rPr>
          <w:rStyle w:val="VerbatimChar"/>
        </w:rPr>
        <w:t xml:space="preserve">tables/tbl_v2_ecological_rationale.csv</w:t>
      </w:r>
      <w:r>
        <w:t xml:space="preserve"> </w:t>
      </w:r>
      <w:r>
        <w:t xml:space="preserve">and</w:t>
      </w:r>
      <w:r>
        <w:t xml:space="preserve"> </w:t>
      </w:r>
      <w:r>
        <w:rPr>
          <w:rStyle w:val="VerbatimChar"/>
        </w:rPr>
        <w:t xml:space="preserve">docs/ECOLOGICAL_RATIONALE.md</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Component</w:t>
            </w:r>
          </w:p>
        </w:tc>
        <w:tc>
          <w:tcPr/>
          <w:p>
            <w:pPr>
              <w:pStyle w:val="Compact"/>
              <w:spacing w:line="240" w:lineRule="auto" w:after="0"/>
            </w:pPr>
            <w:r>
              <w:rPr>
                <w:rFonts w:ascii="Times New Roman" w:hAnsi="Times New Roman"/>
                <w:sz w:val="16"/>
              </w:rPr>
              <w:t xml:space="preserve">Why it is in the model</w:t>
            </w:r>
          </w:p>
        </w:tc>
        <w:tc>
          <w:tcPr/>
          <w:p>
            <w:pPr>
              <w:pStyle w:val="Compact"/>
              <w:spacing w:line="240" w:lineRule="auto" w:after="0"/>
            </w:pPr>
            <w:r>
              <w:rPr>
                <w:rFonts w:ascii="Times New Roman" w:hAnsi="Times New Roman"/>
                <w:sz w:val="16"/>
              </w:rPr>
              <w:t xml:space="preserve">What the estimate means</w:t>
            </w:r>
          </w:p>
        </w:tc>
      </w:tr>
      <w:tr>
        <w:tc>
          <w:tcPr/>
          <w:p>
            <w:pPr>
              <w:pStyle w:val="Compact"/>
              <w:spacing w:line="240" w:lineRule="auto" w:after="0"/>
            </w:pPr>
            <w:r>
              <w:rPr>
                <w:rFonts w:ascii="Times New Roman" w:hAnsi="Times New Roman"/>
                <w:sz w:val="16"/>
              </w:rPr>
              <w:t xml:space="preserve">Response: first record only</w:t>
            </w:r>
          </w:p>
        </w:tc>
        <w:tc>
          <w:tcPr/>
          <w:p>
            <w:pPr>
              <w:pStyle w:val="Compact"/>
              <w:spacing w:line="240" w:lineRule="auto" w:after="0"/>
            </w:pPr>
            <w:r>
              <w:rPr>
                <w:rFonts w:ascii="Times New Roman" w:hAnsi="Times New Roman"/>
                <w:sz w:val="16"/>
              </w:rPr>
              <w:t xml:space="preserve">A species-province pair can acquire a first record once; treating re-documentation as new information would inflate the event count</w:t>
            </w:r>
          </w:p>
        </w:tc>
        <w:tc>
          <w:tcPr/>
          <w:p>
            <w:pPr>
              <w:pStyle w:val="Compact"/>
              <w:spacing w:line="240" w:lineRule="auto" w:after="0"/>
            </w:pPr>
            <w:r>
              <w:rPr>
                <w:rFonts w:ascii="Times New Roman" w:hAnsi="Times New Roman"/>
                <w:sz w:val="16"/>
              </w:rPr>
              <w:t xml:space="preserve">The annual probability of crossing from undocumented to documented</w:t>
            </w:r>
          </w:p>
        </w:tc>
      </w:tr>
      <w:tr>
        <w:tc>
          <w:tcPr/>
          <w:p>
            <w:pPr>
              <w:pStyle w:val="Compact"/>
              <w:spacing w:line="240" w:lineRule="auto" w:after="0"/>
            </w:pPr>
            <w:r>
              <w:rPr>
                <w:rFonts w:ascii="Times New Roman" w:hAnsi="Times New Roman"/>
                <w:sz w:val="16"/>
              </w:rPr>
              <w:t xml:space="preserve">cloglog link</w:t>
            </w:r>
          </w:p>
        </w:tc>
        <w:tc>
          <w:tcPr/>
          <w:p>
            <w:pPr>
              <w:pStyle w:val="Compact"/>
              <w:spacing w:line="240" w:lineRule="auto" w:after="0"/>
            </w:pPr>
            <w:r>
              <w:rPr>
                <w:rFonts w:ascii="Times New Roman" w:hAnsi="Times New Roman"/>
                <w:sz w:val="16"/>
              </w:rPr>
              <w:t xml:space="preserve">Discrete-time analogue of proportional hazards; coefficients are hazard ratios and do not depend on the length of the time step</w:t>
            </w:r>
          </w:p>
        </w:tc>
        <w:tc>
          <w:tcPr/>
          <w:p>
            <w:pPr>
              <w:pStyle w:val="Compact"/>
              <w:spacing w:line="240" w:lineRule="auto" w:after="0"/>
            </w:pPr>
            <w:r>
              <w:rPr>
                <w:rFonts w:ascii="Times New Roman" w:hAnsi="Times New Roman"/>
                <w:sz w:val="16"/>
              </w:rPr>
              <w:t xml:space="preserve">exp(β) is directly comparable with survival-analysis literature</w:t>
            </w:r>
          </w:p>
        </w:tc>
      </w:tr>
      <w:tr>
        <w:tc>
          <w:tcPr/>
          <w:p>
            <w:pPr>
              <w:pStyle w:val="Compact"/>
              <w:spacing w:line="240" w:lineRule="auto" w:after="0"/>
            </w:pPr>
            <w:r>
              <w:rPr>
                <w:rFonts w:ascii="Times New Roman" w:hAnsi="Times New Roman"/>
                <w:sz w:val="16"/>
              </w:rPr>
              <w:t xml:space="preserve">Risk set with absorbing exit</w:t>
            </w:r>
          </w:p>
        </w:tc>
        <w:tc>
          <w:tcPr/>
          <w:p>
            <w:pPr>
              <w:pStyle w:val="Compact"/>
              <w:spacing w:line="240" w:lineRule="auto" w:after="0"/>
            </w:pPr>
            <w:r>
              <w:rPr>
                <w:rFonts w:ascii="Times New Roman" w:hAnsi="Times New Roman"/>
                <w:sz w:val="16"/>
              </w:rPr>
              <w:t xml:space="preserve">Only species whose modelled range approaches a province are plausible candidates; pairs recorded before 2002 are prevalent, not incident, cases</w:t>
            </w:r>
          </w:p>
        </w:tc>
        <w:tc>
          <w:tcPr/>
          <w:p>
            <w:pPr>
              <w:pStyle w:val="Compact"/>
              <w:spacing w:line="240" w:lineRule="auto" w:after="0"/>
            </w:pPr>
            <w:r>
              <w:rPr>
                <w:rFonts w:ascii="Times New Roman" w:hAnsi="Times New Roman"/>
                <w:sz w:val="16"/>
              </w:rPr>
              <w:t xml:space="preserve">Hazard conditional on being a plausible, not-yet-recorded candidate</w:t>
            </w:r>
          </w:p>
        </w:tc>
      </w:tr>
      <w:tr>
        <w:tc>
          <w:tcPr/>
          <w:p>
            <w:pPr>
              <w:pStyle w:val="Compact"/>
              <w:spacing w:line="240" w:lineRule="auto" w:after="0"/>
            </w:pPr>
            <w:r>
              <w:rPr>
                <w:rFonts w:ascii="Times New Roman" w:hAnsi="Times New Roman"/>
                <w:sz w:val="16"/>
              </w:rPr>
              <w:t xml:space="preserve">Accumulated warming,</w:t>
            </w:r>
            <w:r>
              <w:rPr>
                <w:rFonts w:ascii="Times New Roman" w:hAnsi="Times New Roman"/>
                <w:sz w:val="16"/>
              </w:rPr>
              <w:t xml:space="preserve"> </w:t>
            </w:r>
            <w:r>
              <w:rPr>
                <w:rFonts w:ascii="Times New Roman" w:hAnsi="Times New Roman"/>
                <w:i/>
                <w:iCs/>
                <w:sz w:val="16"/>
              </w:rPr>
              <w:t xml:space="preserve">W</w:t>
            </w:r>
            <w:r>
              <w:rPr>
                <w:rFonts w:ascii="Times New Roman" w:hAnsi="Times New Roman"/>
                <w:sz w:val="16"/>
              </w:rPr>
              <w:t xml:space="preserve"> </w:t>
            </w:r>
            <w:r>
              <w:rPr>
                <w:rFonts w:ascii="Times New Roman" w:hAnsi="Times New Roman"/>
                <w:sz w:val="16"/>
              </w:rPr>
              <w:t xml:space="preserve">= 15 yr</w:t>
            </w:r>
          </w:p>
        </w:tc>
        <w:tc>
          <w:tcPr/>
          <w:p>
            <w:pPr>
              <w:pStyle w:val="Compact"/>
              <w:spacing w:line="240" w:lineRule="auto" w:after="0"/>
            </w:pPr>
            <w:r>
              <w:rPr>
                <w:rFonts w:ascii="Times New Roman" w:hAnsi="Times New Roman"/>
                <w:sz w:val="16"/>
              </w:rPr>
              <w:t xml:space="preserve">Range boundaries integrate climate over years to decades; referencing to the species’ own range is essential because absolute warming is near-uniform across China</w:t>
            </w:r>
          </w:p>
        </w:tc>
        <w:tc>
          <w:tcPr/>
          <w:p>
            <w:pPr>
              <w:pStyle w:val="Compact"/>
              <w:spacing w:line="240" w:lineRule="auto" w:after="0"/>
            </w:pPr>
            <w:r>
              <w:rPr>
                <w:rFonts w:ascii="Times New Roman" w:hAnsi="Times New Roman"/>
                <w:sz w:val="16"/>
              </w:rPr>
              <w:t xml:space="preserve">HR 1.362 per 0.179 °C of province-minus-range warming</w:t>
            </w:r>
          </w:p>
        </w:tc>
      </w:tr>
      <w:tr>
        <w:tc>
          <w:tcPr/>
          <w:p>
            <w:pPr>
              <w:pStyle w:val="Compact"/>
              <w:spacing w:line="240" w:lineRule="auto" w:after="0"/>
            </w:pPr>
            <w:r>
              <w:rPr>
                <w:rFonts w:ascii="Times New Roman" w:hAnsi="Times New Roman"/>
                <w:sz w:val="16"/>
              </w:rPr>
              <w:t xml:space="preserve">Annual variability</w:t>
            </w:r>
          </w:p>
        </w:tc>
        <w:tc>
          <w:tcPr/>
          <w:p>
            <w:pPr>
              <w:pStyle w:val="Compact"/>
              <w:spacing w:line="240" w:lineRule="auto" w:after="0"/>
            </w:pPr>
            <w:r>
              <w:rPr>
                <w:rFonts w:ascii="Times New Roman" w:hAnsi="Times New Roman"/>
                <w:sz w:val="16"/>
              </w:rPr>
              <w:t xml:space="preserve">Separates decadal signal from year-to-year weather, so neither term can absorb the other</w:t>
            </w:r>
          </w:p>
        </w:tc>
        <w:tc>
          <w:tcPr/>
          <w:p>
            <w:pPr>
              <w:pStyle w:val="Compact"/>
              <w:spacing w:line="240" w:lineRule="auto" w:after="0"/>
            </w:pPr>
            <w:r>
              <w:rPr>
                <w:rFonts w:ascii="Times New Roman" w:hAnsi="Times New Roman"/>
                <w:sz w:val="16"/>
              </w:rPr>
              <w:t xml:space="preserve">HR 0.995: weather in the discovery year adds nothing</w:t>
            </w:r>
          </w:p>
        </w:tc>
      </w:tr>
      <w:tr>
        <w:tc>
          <w:tcPr/>
          <w:p>
            <w:pPr>
              <w:pStyle w:val="Compact"/>
              <w:spacing w:line="240" w:lineRule="auto" w:after="0"/>
            </w:pPr>
            <w:r>
              <w:rPr>
                <w:rFonts w:ascii="Times New Roman" w:hAnsi="Times New Roman"/>
                <w:sz w:val="16"/>
              </w:rPr>
              <w:t xml:space="preserve">Survey effort</w:t>
            </w:r>
          </w:p>
        </w:tc>
        <w:tc>
          <w:tcPr/>
          <w:p>
            <w:pPr>
              <w:pStyle w:val="Compact"/>
              <w:spacing w:line="240" w:lineRule="auto" w:after="0"/>
            </w:pPr>
            <w:r>
              <w:rPr>
                <w:rFonts w:ascii="Times New Roman" w:hAnsi="Times New Roman"/>
                <w:sz w:val="16"/>
              </w:rPr>
              <w:t xml:space="preserve">A species can only be recorded where someone is looking; required for the climate coefficient to be interpretable</w:t>
            </w:r>
          </w:p>
        </w:tc>
        <w:tc>
          <w:tcPr/>
          <w:p>
            <w:pPr>
              <w:pStyle w:val="Compact"/>
              <w:spacing w:line="240" w:lineRule="auto" w:after="0"/>
            </w:pPr>
            <w:r>
              <w:rPr>
                <w:rFonts w:ascii="Times New Roman" w:hAnsi="Times New Roman"/>
                <w:sz w:val="16"/>
              </w:rPr>
              <w:t xml:space="preserve">HR 1.404 per 1 SD; one SD multiplies annual visits by 7.75</w:t>
            </w:r>
          </w:p>
        </w:tc>
      </w:tr>
      <w:tr>
        <w:tc>
          <w:tcPr/>
          <w:p>
            <w:pPr>
              <w:pStyle w:val="Compact"/>
              <w:spacing w:line="240" w:lineRule="auto" w:after="0"/>
            </w:pPr>
            <w:r>
              <w:rPr>
                <w:rFonts w:ascii="Times New Roman" w:hAnsi="Times New Roman"/>
                <w:sz w:val="16"/>
              </w:rPr>
              <w:t xml:space="preserve">Warming × effort</w:t>
            </w:r>
          </w:p>
        </w:tc>
        <w:tc>
          <w:tcPr/>
          <w:p>
            <w:pPr>
              <w:pStyle w:val="Compact"/>
              <w:spacing w:line="240" w:lineRule="auto" w:after="0"/>
            </w:pPr>
            <w:r>
              <w:rPr>
                <w:rFonts w:ascii="Times New Roman" w:hAnsi="Times New Roman"/>
                <w:sz w:val="16"/>
              </w:rPr>
              <w:t xml:space="preserve">Sparsely surveyed provinces are disproportionately montane with steep climatic gradients, and densely surveyed ones have already absorbed much of their Wallacean shortfall</w:t>
            </w:r>
          </w:p>
        </w:tc>
        <w:tc>
          <w:tcPr/>
          <w:p>
            <w:pPr>
              <w:pStyle w:val="Compact"/>
              <w:spacing w:line="240" w:lineRule="auto" w:after="0"/>
            </w:pPr>
            <w:r>
              <w:rPr>
                <w:rFonts w:ascii="Times New Roman" w:hAnsi="Times New Roman"/>
                <w:sz w:val="16"/>
              </w:rPr>
              <w:t xml:space="preserve">HR 0.849: warming matters most where coverage is sparse</w:t>
            </w:r>
          </w:p>
        </w:tc>
      </w:tr>
      <w:tr>
        <w:tc>
          <w:tcPr/>
          <w:p>
            <w:pPr>
              <w:pStyle w:val="Compact"/>
              <w:spacing w:line="240" w:lineRule="auto" w:after="0"/>
            </w:pPr>
            <w:r>
              <w:rPr>
                <w:rFonts w:ascii="Times New Roman" w:hAnsi="Times New Roman"/>
                <w:sz w:val="16"/>
              </w:rPr>
              <w:t xml:space="preserve">Offset log</w:t>
            </w:r>
            <w:r>
              <w:rPr>
                <w:rFonts w:ascii="Times New Roman" w:hAnsi="Times New Roman"/>
                <w:sz w:val="16"/>
              </w:rPr>
              <w:t xml:space="preserve"> </w:t>
            </w:r>
            <w:r>
              <w:rPr>
                <w:rFonts w:ascii="Times New Roman" w:hAnsi="Times New Roman"/>
                <w:i/>
                <w:iCs/>
                <w:sz w:val="16"/>
              </w:rPr>
              <w:t xml:space="preserve">c</w:t>
            </w:r>
            <w:r>
              <w:rPr>
                <w:rFonts w:ascii="Times New Roman" w:hAnsi="Times New Roman"/>
                <w:sz w:val="16"/>
              </w:rPr>
              <w:t xml:space="preserve">(</w:t>
            </w:r>
            <w:r>
              <w:rPr>
                <w:rFonts w:ascii="Times New Roman" w:hAnsi="Times New Roman"/>
                <w:i/>
                <w:iCs/>
                <w:sz w:val="16"/>
              </w:rPr>
              <w:t xml:space="preserve">t</w:t>
            </w: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Records enter only after publication, so recent years are under-represented; under incomplete reporting this is exactly an offset, not an approximation</w:t>
            </w:r>
          </w:p>
        </w:tc>
        <w:tc>
          <w:tcPr/>
          <w:p>
            <w:pPr>
              <w:pStyle w:val="Compact"/>
              <w:spacing w:line="240" w:lineRule="auto" w:after="0"/>
            </w:pPr>
            <w:r>
              <w:rPr>
                <w:rFonts w:ascii="Times New Roman" w:hAnsi="Times New Roman"/>
                <w:sz w:val="16"/>
              </w:rPr>
              <w:t xml:space="preserve">Corrects for right-censoring without consuming a degree of freedom</w:t>
            </w:r>
          </w:p>
        </w:tc>
      </w:tr>
      <w:tr>
        <w:tc>
          <w:tcPr/>
          <w:p>
            <w:pPr>
              <w:pStyle w:val="Compact"/>
              <w:spacing w:line="240" w:lineRule="auto" w:after="0"/>
            </w:pPr>
            <w:r>
              <w:rPr>
                <w:rFonts w:ascii="Times New Roman" w:hAnsi="Times New Roman"/>
                <w:sz w:val="16"/>
              </w:rPr>
              <w:t xml:space="preserve">(1|species), SD 0.405</w:t>
            </w:r>
          </w:p>
        </w:tc>
        <w:tc>
          <w:tcPr/>
          <w:p>
            <w:pPr>
              <w:pStyle w:val="Compact"/>
              <w:spacing w:line="240" w:lineRule="auto" w:after="0"/>
            </w:pPr>
            <w:r>
              <w:rPr>
                <w:rFonts w:ascii="Times New Roman" w:hAnsi="Times New Roman"/>
                <w:sz w:val="16"/>
              </w:rPr>
              <w:t xml:space="preserve">Body size, song conspicuousness, habitat accessibility, density and taxonomic attention</w:t>
            </w:r>
          </w:p>
        </w:tc>
        <w:tc>
          <w:tcPr/>
          <w:p>
            <w:pPr>
              <w:pStyle w:val="Compact"/>
              <w:spacing w:line="240" w:lineRule="auto" w:after="0"/>
            </w:pPr>
            <w:r>
              <w:rPr>
                <w:rFonts w:ascii="Times New Roman" w:hAnsi="Times New Roman"/>
                <w:sz w:val="16"/>
              </w:rPr>
              <w:t xml:space="preserve">×1.50 per SD; species span a 3.7-fold range</w:t>
            </w:r>
          </w:p>
        </w:tc>
      </w:tr>
      <w:tr>
        <w:tc>
          <w:tcPr/>
          <w:p>
            <w:pPr>
              <w:pStyle w:val="Compact"/>
              <w:spacing w:line="240" w:lineRule="auto" w:after="0"/>
            </w:pPr>
            <w:r>
              <w:rPr>
                <w:rFonts w:ascii="Times New Roman" w:hAnsi="Times New Roman"/>
                <w:sz w:val="16"/>
              </w:rPr>
              <w:t xml:space="preserve">(1|province), SD 0.326</w:t>
            </w:r>
          </w:p>
        </w:tc>
        <w:tc>
          <w:tcPr/>
          <w:p>
            <w:pPr>
              <w:pStyle w:val="Compact"/>
              <w:spacing w:line="240" w:lineRule="auto" w:after="0"/>
            </w:pPr>
            <w:r>
              <w:rPr>
                <w:rFonts w:ascii="Times New Roman" w:hAnsi="Times New Roman"/>
                <w:sz w:val="16"/>
              </w:rPr>
              <w:t xml:space="preserve">Area, terrain complexity, habitat diversity, observer population, research tradition</w:t>
            </w:r>
          </w:p>
        </w:tc>
        <w:tc>
          <w:tcPr/>
          <w:p>
            <w:pPr>
              <w:pStyle w:val="Compact"/>
              <w:spacing w:line="240" w:lineRule="auto" w:after="0"/>
            </w:pPr>
            <w:r>
              <w:rPr>
                <w:rFonts w:ascii="Times New Roman" w:hAnsi="Times New Roman"/>
                <w:sz w:val="16"/>
              </w:rPr>
              <w:t xml:space="preserve">×1.39 per SD</w:t>
            </w:r>
          </w:p>
        </w:tc>
      </w:tr>
      <w:tr>
        <w:tc>
          <w:tcPr/>
          <w:p>
            <w:pPr>
              <w:pStyle w:val="Compact"/>
              <w:spacing w:line="240" w:lineRule="auto" w:after="0"/>
            </w:pPr>
            <w:r>
              <w:rPr>
                <w:rFonts w:ascii="Times New Roman" w:hAnsi="Times New Roman"/>
                <w:sz w:val="16"/>
              </w:rPr>
              <w:t xml:space="preserve">(1|province:year), SD 0.804</w:t>
            </w:r>
          </w:p>
        </w:tc>
        <w:tc>
          <w:tcPr/>
          <w:p>
            <w:pPr>
              <w:pStyle w:val="Compact"/>
              <w:spacing w:line="240" w:lineRule="auto" w:after="0"/>
            </w:pPr>
            <w:r>
              <w:rPr>
                <w:rFonts w:ascii="Times New Roman" w:hAnsi="Times New Roman"/>
                <w:sz w:val="16"/>
              </w:rPr>
              <w:t xml:space="preserve">The scale at which the observation process operates: regional campaigns, festivals, new reserves, local reporting channels</w:t>
            </w:r>
          </w:p>
        </w:tc>
        <w:tc>
          <w:tcPr/>
          <w:p>
            <w:pPr>
              <w:pStyle w:val="Compact"/>
              <w:spacing w:line="240" w:lineRule="auto" w:after="0"/>
            </w:pPr>
            <w:r>
              <w:rPr>
                <w:rFonts w:ascii="Times New Roman" w:hAnsi="Times New Roman"/>
                <w:sz w:val="16"/>
              </w:rPr>
              <w:t xml:space="preserve">×2.23 per SD, larger than either fixed effect; levels span 13-fold</w:t>
            </w:r>
          </w:p>
        </w:tc>
      </w:tr>
      <w:tr>
        <w:tc>
          <w:tcPr/>
          <w:p>
            <w:pPr>
              <w:pStyle w:val="Compact"/>
              <w:spacing w:line="240" w:lineRule="auto" w:after="0"/>
            </w:pPr>
            <w:r>
              <w:rPr>
                <w:rFonts w:ascii="Times New Roman" w:hAnsi="Times New Roman"/>
                <w:sz w:val="16"/>
              </w:rPr>
              <w:t xml:space="preserve">Baseline 1980–2000</w:t>
            </w:r>
          </w:p>
        </w:tc>
        <w:tc>
          <w:tcPr/>
          <w:p>
            <w:pPr>
              <w:pStyle w:val="Compact"/>
              <w:spacing w:line="240" w:lineRule="auto" w:after="0"/>
            </w:pPr>
            <w:r>
              <w:rPr>
                <w:rFonts w:ascii="Times New Roman" w:hAnsi="Times New Roman"/>
                <w:sz w:val="16"/>
              </w:rPr>
              <w:t xml:space="preserve">Must end before the analysis period, or part of the warming being tested is written into the reference</w:t>
            </w:r>
          </w:p>
        </w:tc>
        <w:tc>
          <w:tcPr/>
          <w:p>
            <w:pPr>
              <w:pStyle w:val="Compact"/>
              <w:spacing w:line="240" w:lineRule="auto" w:after="0"/>
            </w:pPr>
            <w:r>
              <w:rPr>
                <w:rFonts w:ascii="Times New Roman" w:hAnsi="Times New Roman"/>
                <w:sz w:val="16"/>
              </w:rPr>
              <w:t xml:space="preserve">Anomalies measured against the most recent non-overlapping period</w:t>
            </w:r>
          </w:p>
        </w:tc>
      </w:tr>
    </w:tbl>
    <w:p>
      <w:r>
        <w:pict>
          <v:rect style="width:0;height:1.5pt" o:hralign="center" o:hrstd="t" o:hr="t"/>
        </w:pict>
      </w:r>
    </w:p>
    <w:bookmarkEnd w:id="19"/>
    <w:bookmarkStart w:id="20" w:name="Xe7c7df6c89f503cc30059bb9272f55315401e03"/>
    <w:p>
      <w:pPr>
        <w:pStyle w:val="Heading3"/>
      </w:pPr>
      <w:r>
        <w:t xml:space="preserve">Supplementary Table S3. Migratory stratification</w:t>
      </w:r>
    </w:p>
    <w:p>
      <w:pPr>
        <w:pStyle w:val="FirstParagraph"/>
      </w:pPr>
      <w:r>
        <w:t xml:space="preserve">Migratory stratification. Full results in</w:t>
      </w:r>
      <w:r>
        <w:t xml:space="preserve"> </w:t>
      </w:r>
      <w:r>
        <w:rPr>
          <w:rStyle w:val="VerbatimChar"/>
        </w:rPr>
        <w:t xml:space="preserve">tables/tbl_v2_migratory_ladder.csv</w:t>
      </w:r>
      <w:r>
        <w:t xml:space="preserve">,</w:t>
      </w:r>
      <w:r>
        <w:t xml:space="preserve"> </w:t>
      </w:r>
      <w:r>
        <w:rPr>
          <w:rStyle w:val="VerbatimChar"/>
        </w:rPr>
        <w:t xml:space="preserve">tbl_v2_migratory_stratified.csv</w:t>
      </w:r>
      <w:r>
        <w:t xml:space="preserve"> </w:t>
      </w:r>
      <w:r>
        <w:t xml:space="preserve">and</w:t>
      </w:r>
      <w:r>
        <w:t xml:space="preserve"> </w:t>
      </w:r>
      <w:r>
        <w:rPr>
          <w:rStyle w:val="VerbatimChar"/>
        </w:rPr>
        <w:t xml:space="preserve">tbl_v2_migratory_interaction_by_group.csv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Warming HR (95% CI)</w:t>
            </w:r>
          </w:p>
        </w:tc>
        <w:tc>
          <w:tcPr/>
          <w:p>
            <w:pPr>
              <w:pStyle w:val="Compact"/>
              <w:spacing w:line="240" w:lineRule="auto" w:after="0"/>
            </w:pPr>
            <w:r>
              <w:rPr>
                <w:rFonts w:ascii="Times New Roman" w:hAnsi="Times New Roman"/>
                <w:sz w:val="16"/>
              </w:rPr>
              <w:t xml:space="preserve">Effort HR (95% CI)</w:t>
            </w:r>
          </w:p>
        </w:tc>
        <w:tc>
          <w:tcPr/>
          <w:p>
            <w:pPr>
              <w:pStyle w:val="Compact"/>
              <w:spacing w:line="240" w:lineRule="auto" w:after="0"/>
            </w:pPr>
            <w:r>
              <w:rPr>
                <w:rFonts w:ascii="Times New Roman" w:hAnsi="Times New Roman"/>
                <w:sz w:val="16"/>
              </w:rPr>
              <w:t xml:space="preserve">Warming × effort HR</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218</w:t>
            </w:r>
          </w:p>
        </w:tc>
        <w:tc>
          <w:tcPr/>
          <w:p>
            <w:pPr>
              <w:pStyle w:val="Compact"/>
              <w:spacing w:line="240" w:lineRule="auto" w:after="0"/>
            </w:pPr>
            <w:r>
              <w:rPr>
                <w:rFonts w:ascii="Times New Roman" w:hAnsi="Times New Roman"/>
                <w:sz w:val="16"/>
              </w:rPr>
              <w:t xml:space="preserve">1.363 (1.158–1.605)</w:t>
            </w:r>
          </w:p>
        </w:tc>
        <w:tc>
          <w:tcPr/>
          <w:p>
            <w:pPr>
              <w:pStyle w:val="Compact"/>
              <w:spacing w:line="240" w:lineRule="auto" w:after="0"/>
            </w:pPr>
            <w:r>
              <w:rPr>
                <w:rFonts w:ascii="Times New Roman" w:hAnsi="Times New Roman"/>
                <w:sz w:val="16"/>
              </w:rPr>
              <w:t xml:space="preserve">1.293 (1.110–1.506)</w:t>
            </w:r>
          </w:p>
        </w:tc>
        <w:tc>
          <w:tcPr/>
          <w:p>
            <w:pPr>
              <w:pStyle w:val="Compact"/>
              <w:spacing w:line="240" w:lineRule="auto" w:after="0"/>
            </w:pPr>
            <w:r>
              <w:rPr>
                <w:rFonts w:ascii="Times New Roman" w:hAnsi="Times New Roman"/>
                <w:sz w:val="16"/>
              </w:rPr>
              <w:t xml:space="preserve">0.942</w:t>
            </w:r>
          </w:p>
        </w:tc>
        <w:tc>
          <w:tcPr/>
          <w:p>
            <w:pPr>
              <w:pStyle w:val="Compact"/>
              <w:spacing w:line="240" w:lineRule="auto" w:after="0"/>
            </w:pPr>
            <w:r>
              <w:rPr>
                <w:rFonts w:ascii="Times New Roman" w:hAnsi="Times New Roman"/>
                <w:sz w:val="16"/>
              </w:rPr>
              <w:t xml:space="preserve">0.54</w:t>
            </w:r>
          </w:p>
        </w:tc>
      </w:tr>
      <w:tr>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156</w:t>
            </w:r>
          </w:p>
        </w:tc>
        <w:tc>
          <w:tcPr/>
          <w:p>
            <w:pPr>
              <w:pStyle w:val="Compact"/>
              <w:spacing w:line="240" w:lineRule="auto" w:after="0"/>
            </w:pPr>
            <w:r>
              <w:rPr>
                <w:rFonts w:ascii="Times New Roman" w:hAnsi="Times New Roman"/>
                <w:sz w:val="16"/>
              </w:rPr>
              <w:t xml:space="preserve">1.507 (1.244–1.826)</w:t>
            </w:r>
          </w:p>
        </w:tc>
        <w:tc>
          <w:tcPr/>
          <w:p>
            <w:pPr>
              <w:pStyle w:val="Compact"/>
              <w:spacing w:line="240" w:lineRule="auto" w:after="0"/>
            </w:pPr>
            <w:r>
              <w:rPr>
                <w:rFonts w:ascii="Times New Roman" w:hAnsi="Times New Roman"/>
                <w:sz w:val="16"/>
              </w:rPr>
              <w:t xml:space="preserve">1.270 (1.030–1.566)</w:t>
            </w:r>
          </w:p>
        </w:tc>
        <w:tc>
          <w:tcPr/>
          <w:p>
            <w:pPr>
              <w:pStyle w:val="Compact"/>
              <w:spacing w:line="240" w:lineRule="auto" w:after="0"/>
            </w:pPr>
            <w:r>
              <w:rPr>
                <w:rFonts w:ascii="Times New Roman" w:hAnsi="Times New Roman"/>
                <w:sz w:val="16"/>
              </w:rPr>
              <w:t xml:space="preserve">1.053</w:t>
            </w:r>
          </w:p>
        </w:tc>
        <w:tc>
          <w:tcPr/>
          <w:p>
            <w:pPr>
              <w:pStyle w:val="Compact"/>
              <w:spacing w:line="240" w:lineRule="auto" w:after="0"/>
            </w:pPr>
            <w:r>
              <w:rPr>
                <w:rFonts w:ascii="Times New Roman" w:hAnsi="Times New Roman"/>
                <w:sz w:val="16"/>
              </w:rPr>
              <w:t xml:space="preserve">0.62</w:t>
            </w:r>
          </w:p>
        </w:tc>
      </w:tr>
      <w:tr>
        <w:tc>
          <w:tcPr/>
          <w:p>
            <w:pPr>
              <w:pStyle w:val="Compact"/>
              <w:spacing w:line="240" w:lineRule="auto" w:after="0"/>
            </w:pPr>
            <w:r>
              <w:rPr>
                <w:rFonts w:ascii="Times New Roman" w:hAnsi="Times New Roman"/>
                <w:sz w:val="16"/>
              </w:rPr>
              <w:t xml:space="preserve">Long-distance migrant</w:t>
            </w:r>
          </w:p>
        </w:tc>
        <w:tc>
          <w:tcPr/>
          <w:p>
            <w:pPr>
              <w:pStyle w:val="Compact"/>
              <w:spacing w:line="240" w:lineRule="auto" w:after="0"/>
            </w:pPr>
            <w:r>
              <w:rPr>
                <w:rFonts w:ascii="Times New Roman" w:hAnsi="Times New Roman"/>
                <w:sz w:val="16"/>
              </w:rPr>
              <w:t xml:space="preserve">175</w:t>
            </w:r>
          </w:p>
        </w:tc>
        <w:tc>
          <w:tcPr/>
          <w:p>
            <w:pPr>
              <w:pStyle w:val="Compact"/>
              <w:spacing w:line="240" w:lineRule="auto" w:after="0"/>
            </w:pPr>
            <w:r>
              <w:rPr>
                <w:rFonts w:ascii="Times New Roman" w:hAnsi="Times New Roman"/>
                <w:sz w:val="16"/>
              </w:rPr>
              <w:t xml:space="preserve">1.514 (1.265–1.812)</w:t>
            </w:r>
          </w:p>
        </w:tc>
        <w:tc>
          <w:tcPr/>
          <w:p>
            <w:pPr>
              <w:pStyle w:val="Compact"/>
              <w:spacing w:line="240" w:lineRule="auto" w:after="0"/>
            </w:pPr>
            <w:r>
              <w:rPr>
                <w:rFonts w:ascii="Times New Roman" w:hAnsi="Times New Roman"/>
                <w:sz w:val="16"/>
              </w:rPr>
              <w:t xml:space="preserve">1.344 (1.130–1.598)</w:t>
            </w:r>
          </w:p>
        </w:tc>
        <w:tc>
          <w:tcPr/>
          <w:p>
            <w:pPr>
              <w:pStyle w:val="Compact"/>
              <w:spacing w:line="240" w:lineRule="auto" w:after="0"/>
            </w:pPr>
            <w:r>
              <w:rPr>
                <w:rFonts w:ascii="Times New Roman" w:hAnsi="Times New Roman"/>
                <w:sz w:val="16"/>
              </w:rPr>
              <w:t xml:space="preserve">0.753</w:t>
            </w:r>
          </w:p>
        </w:tc>
        <w:tc>
          <w:tcPr/>
          <w:p>
            <w:pPr>
              <w:pStyle w:val="Compact"/>
              <w:spacing w:line="240" w:lineRule="auto" w:after="0"/>
            </w:pPr>
            <w:r>
              <w:rPr>
                <w:rFonts w:ascii="Times New Roman" w:hAnsi="Times New Roman"/>
                <w:sz w:val="16"/>
              </w:rPr>
              <w:t xml:space="preserve">0.0022</w:t>
            </w:r>
          </w:p>
        </w:tc>
      </w:tr>
      <w:tr>
        <w:tc>
          <w:tcPr/>
          <w:p>
            <w:pPr>
              <w:pStyle w:val="Compact"/>
              <w:spacing w:line="240" w:lineRule="auto" w:after="0"/>
            </w:pPr>
            <w:r>
              <w:rPr>
                <w:rFonts w:ascii="Times New Roman" w:hAnsi="Times New Roman"/>
                <w:i/>
                <w:iCs/>
                <w:sz w:val="16"/>
              </w:rPr>
              <w:t xml:space="preserve">Moderation tests</w:t>
            </w:r>
          </w:p>
        </w:tc>
        <w:tc>
          <w:tcPr/>
          <w:p>
            <w:pPr>
              <w:pStyle w:val="Compact"/>
              <w:spacing w:line="240" w:lineRule="auto" w:after="0"/>
            </w:pP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0.693</w:t>
            </w: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0.854</w:t>
            </w:r>
          </w:p>
        </w:tc>
        <w:tc>
          <w:tcPr/>
          <w:p>
            <w:pPr>
              <w:pStyle w:val="Compact"/>
              <w:spacing w:line="240" w:lineRule="auto" w:after="0"/>
            </w:pPr>
            <w:r>
              <w:rPr>
                <w:rFonts w:ascii="Times New Roman" w:hAnsi="Times New Roman"/>
                <w:sz w:val="16"/>
              </w:rPr>
              <w:t xml:space="preserve">three-way 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0.256</w:t>
            </w:r>
          </w:p>
        </w:tc>
        <w:tc>
          <w:tcPr/>
          <w:p>
            <w:pPr>
              <w:pStyle w:val="Compact"/>
              <w:spacing w:line="240" w:lineRule="auto" w:after="0"/>
            </w:pPr>
          </w:p>
        </w:tc>
      </w:tr>
    </w:tbl>
    <w:bookmarkEnd w:id="20"/>
    <w:bookmarkStart w:id="21" w:name="Xe6025b7c3b2a8a5675e776de32f5473749482c5"/>
    <w:p>
      <w:pPr>
        <w:pStyle w:val="Heading3"/>
      </w:pPr>
      <w:r>
        <w:t xml:space="preserve">Supplementary Table S4. Species-level range measures</w:t>
      </w:r>
    </w:p>
    <w:p>
      <w:pPr>
        <w:pStyle w:val="FirstParagraph"/>
      </w:pPr>
      <w:r>
        <w:t xml:space="preserve">Species-level range measures, all from phylogenetic logistic regression on the dated</w:t>
      </w:r>
      <w:r>
        <w:t xml:space="preserve"> </w:t>
      </w:r>
      <w:r>
        <w:t xml:space="preserve">tree. Full results in</w:t>
      </w:r>
      <w:r>
        <w:t xml:space="preserve"> </w:t>
      </w:r>
      <w:r>
        <w:rPr>
          <w:rStyle w:val="VerbatimChar"/>
        </w:rPr>
        <w:t xml:space="preserve">tables/tbl_v2_species_range_measures.csv</w:t>
      </w:r>
      <w:r>
        <w:t xml:space="preserve"> </w:t>
      </w:r>
      <w:r>
        <w:t xml:space="preserve">and</w:t>
      </w:r>
      <w:r>
        <w:t xml:space="preserve"> </w:t>
      </w:r>
      <w:r>
        <w:rPr>
          <w:rStyle w:val="VerbatimChar"/>
        </w:rPr>
        <w:t xml:space="preserve">tbl_v2_species_range_circularity.csv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Measure</w:t>
            </w:r>
          </w:p>
        </w:tc>
        <w:tc>
          <w:tcPr/>
          <w:p>
            <w:pPr>
              <w:pStyle w:val="Compact"/>
              <w:spacing w:line="240" w:lineRule="auto" w:after="0"/>
            </w:pPr>
            <w:r>
              <w:rPr>
                <w:rFonts w:ascii="Times New Roman" w:hAnsi="Times New Roman"/>
                <w:i/>
                <w:iCs/>
                <w:sz w:val="16"/>
              </w:rPr>
              <w:t xml:space="preserve">n</w:t>
            </w:r>
          </w:p>
        </w:tc>
        <w:tc>
          <w:tcPr/>
          <w:p>
            <w:pPr>
              <w:pStyle w:val="Compact"/>
              <w:spacing w:line="240" w:lineRule="auto" w:after="0"/>
            </w:pPr>
            <w:r>
              <w:rPr>
                <w:rFonts w:ascii="Times New Roman" w:hAnsi="Times New Roman"/>
                <w:sz w:val="16"/>
              </w:rPr>
              <w:t xml:space="preserve">Species with a record</w:t>
            </w:r>
          </w:p>
        </w:tc>
        <w:tc>
          <w:tcPr/>
          <w:p>
            <w:pPr>
              <w:pStyle w:val="Compact"/>
              <w:spacing w:line="240" w:lineRule="auto" w:after="0"/>
            </w:pPr>
            <w:r>
              <w:rPr>
                <w:rFonts w:ascii="Times New Roman" w:hAnsi="Times New Roman"/>
                <w:sz w:val="16"/>
              </w:rPr>
              <w:t xml:space="preserve">OR per SD (95% CI)</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Global range area (AVONET)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1.456 (1.204–1.762)</w:t>
            </w:r>
          </w:p>
        </w:tc>
        <w:tc>
          <w:tcPr/>
          <w:p>
            <w:pPr>
              <w:pStyle w:val="Compact"/>
              <w:spacing w:line="240" w:lineRule="auto" w:after="0"/>
            </w:pPr>
            <w:r>
              <w:rPr>
                <w:rFonts w:ascii="Times New Roman" w:hAnsi="Times New Roman"/>
                <w:sz w:val="16"/>
              </w:rPr>
              <w:t xml:space="preserve">1.1 × 10⁻⁴</w:t>
            </w:r>
          </w:p>
        </w:tc>
      </w:tr>
      <w:tr>
        <w:tc>
          <w:tcPr/>
          <w:p>
            <w:pPr>
              <w:pStyle w:val="Compact"/>
              <w:spacing w:line="240" w:lineRule="auto" w:after="0"/>
            </w:pPr>
            <w:r>
              <w:rPr>
                <w:rFonts w:ascii="Times New Roman" w:hAnsi="Times New Roman"/>
                <w:sz w:val="16"/>
              </w:rPr>
              <w:t xml:space="preserve">China range area (BirdLife, clipped)</w:t>
            </w:r>
          </w:p>
        </w:tc>
        <w:tc>
          <w:tcPr/>
          <w:p>
            <w:pPr>
              <w:pStyle w:val="Compact"/>
              <w:spacing w:line="240" w:lineRule="auto" w:after="0"/>
            </w:pPr>
            <w:r>
              <w:rPr>
                <w:rFonts w:ascii="Times New Roman" w:hAnsi="Times New Roman"/>
                <w:sz w:val="16"/>
              </w:rPr>
              <w:t xml:space="preserve">1,003</w:t>
            </w:r>
          </w:p>
        </w:tc>
        <w:tc>
          <w:tcPr/>
          <w:p>
            <w:pPr>
              <w:pStyle w:val="Compact"/>
              <w:spacing w:line="240" w:lineRule="auto" w:after="0"/>
            </w:pPr>
            <w:r>
              <w:rPr>
                <w:rFonts w:ascii="Times New Roman" w:hAnsi="Times New Roman"/>
                <w:sz w:val="16"/>
              </w:rPr>
              <w:t xml:space="preserve">312</w:t>
            </w:r>
          </w:p>
        </w:tc>
        <w:tc>
          <w:tcPr/>
          <w:p>
            <w:pPr>
              <w:pStyle w:val="Compact"/>
              <w:spacing w:line="240" w:lineRule="auto" w:after="0"/>
            </w:pPr>
            <w:r>
              <w:rPr>
                <w:rFonts w:ascii="Times New Roman" w:hAnsi="Times New Roman"/>
                <w:sz w:val="16"/>
              </w:rPr>
              <w:t xml:space="preserve">1.653 (1.420–1.925)</w:t>
            </w:r>
          </w:p>
        </w:tc>
        <w:tc>
          <w:tcPr/>
          <w:p>
            <w:pPr>
              <w:pStyle w:val="Compact"/>
              <w:spacing w:line="240" w:lineRule="auto" w:after="0"/>
            </w:pPr>
            <w:r>
              <w:rPr>
                <w:rFonts w:ascii="Times New Roman" w:hAnsi="Times New Roman"/>
                <w:sz w:val="16"/>
              </w:rPr>
              <w:t xml:space="preserve">9.0 × 10⁻¹¹</w:t>
            </w:r>
          </w:p>
        </w:tc>
      </w:tr>
      <w:tr>
        <w:tc>
          <w:tcPr/>
          <w:p>
            <w:pPr>
              <w:pStyle w:val="Compact"/>
              <w:spacing w:line="240" w:lineRule="auto" w:after="0"/>
            </w:pPr>
            <w:r>
              <w:rPr>
                <w:rFonts w:ascii="Times New Roman" w:hAnsi="Times New Roman"/>
                <w:sz w:val="16"/>
              </w:rPr>
              <w:t xml:space="preserve">Provinces occupied —</w:t>
            </w:r>
            <w:r>
              <w:rPr>
                <w:rFonts w:ascii="Times New Roman" w:hAnsi="Times New Roman"/>
                <w:sz w:val="16"/>
              </w:rPr>
              <w:t xml:space="preserve"> </w:t>
            </w:r>
            <w:r>
              <w:rPr>
                <w:rFonts w:ascii="Times New Roman" w:hAnsi="Times New Roman"/>
                <w:i/>
                <w:iCs/>
                <w:sz w:val="16"/>
              </w:rPr>
              <w:t xml:space="preserve">not reported as a result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2.09</w:t>
            </w:r>
          </w:p>
        </w:tc>
        <w:tc>
          <w:tcPr/>
          <w:p>
            <w:pPr>
              <w:pStyle w:val="Compact"/>
              <w:spacing w:line="240" w:lineRule="auto" w:after="0"/>
            </w:pPr>
            <w:r>
              <w:rPr>
                <w:rFonts w:ascii="Times New Roman" w:hAnsi="Times New Roman"/>
                <w:sz w:val="16"/>
              </w:rPr>
              <w:t xml:space="preserve">5 × 10⁻¹⁵</w:t>
            </w:r>
          </w:p>
        </w:tc>
      </w:tr>
    </w:tbl>
    <w:bookmarkEnd w:id="21"/>
    <w:bookmarkStart w:id="22" w:name="X3b4f64cecc21e5b3fe2d2015a0daa07643579a5"/>
    <w:p>
      <w:pPr>
        <w:pStyle w:val="Heading3"/>
      </w:pPr>
      <w:r>
        <w:t xml:space="preserve">Supplementary Table S5. Province-level models</w:t>
      </w:r>
    </w:p>
    <w:p>
      <w:pPr>
        <w:pStyle w:val="FirstParagraph"/>
      </w:pPr>
      <w:r>
        <w:t xml:space="preserve">Province-level models. Full results in</w:t>
      </w:r>
      <w:r>
        <w:t xml:space="preserve"> </w:t>
      </w:r>
      <w:r>
        <w:rPr>
          <w:rStyle w:val="VerbatimChar"/>
        </w:rPr>
        <w:t xml:space="preserve">tables/tbl_v2_province_*.csv</w:t>
      </w:r>
      <w:r>
        <w:t xml:space="preserve">.</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Model</w:t>
            </w:r>
          </w:p>
        </w:tc>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AICc</w:t>
            </w:r>
          </w:p>
        </w:tc>
      </w:tr>
      <w:tr>
        <w:tc>
          <w:tcPr/>
          <w:p>
            <w:pPr>
              <w:pStyle w:val="Compact"/>
              <w:spacing w:line="240" w:lineRule="auto" w:after="0"/>
            </w:pPr>
            <w:r>
              <w:rPr>
                <w:rFonts w:ascii="Times New Roman" w:hAnsi="Times New Roman"/>
                <w:sz w:val="16"/>
              </w:rPr>
              <w:t xml:space="preserve">Poisson</w:t>
            </w:r>
          </w:p>
        </w:tc>
        <w:tc>
          <w:tcPr/>
          <w:p>
            <w:pPr>
              <w:pStyle w:val="Compact"/>
              <w:spacing w:line="240" w:lineRule="auto" w:after="0"/>
            </w:pPr>
            <w:r>
              <w:rPr>
                <w:rFonts w:ascii="Times New Roman" w:hAnsi="Times New Roman"/>
                <w:sz w:val="16"/>
              </w:rPr>
              <w:t xml:space="preserve">5.60</w:t>
            </w:r>
          </w:p>
        </w:tc>
        <w:tc>
          <w:tcPr/>
          <w:p>
            <w:pPr>
              <w:pStyle w:val="Compact"/>
              <w:spacing w:line="240" w:lineRule="auto" w:after="0"/>
            </w:pPr>
            <w:r>
              <w:rPr>
                <w:rFonts w:ascii="Times New Roman" w:hAnsi="Times New Roman"/>
                <w:sz w:val="16"/>
              </w:rPr>
              <w:t xml:space="preserve">2.3 × 10⁻¹⁷</w:t>
            </w:r>
          </w:p>
        </w:tc>
        <w:tc>
          <w:tcPr/>
          <w:p>
            <w:pPr>
              <w:pStyle w:val="Compact"/>
              <w:spacing w:line="240" w:lineRule="auto" w:after="0"/>
            </w:pPr>
            <w:r>
              <w:rPr>
                <w:rFonts w:ascii="Times New Roman" w:hAnsi="Times New Roman"/>
                <w:sz w:val="16"/>
              </w:rPr>
              <w:t xml:space="preserve">302.2</w:t>
            </w:r>
          </w:p>
        </w:tc>
      </w:tr>
      <w:tr>
        <w:tc>
          <w:tcPr/>
          <w:p>
            <w:pPr>
              <w:pStyle w:val="Compact"/>
              <w:spacing w:line="240" w:lineRule="auto" w:after="0"/>
            </w:pPr>
            <w:r>
              <w:rPr>
                <w:rFonts w:ascii="Times New Roman" w:hAnsi="Times New Roman"/>
                <w:sz w:val="16"/>
              </w:rPr>
              <w:t xml:space="preserve">Negative binomial</w:t>
            </w:r>
          </w:p>
        </w:tc>
        <w:tc>
          <w:tcPr/>
          <w:p>
            <w:pPr>
              <w:pStyle w:val="Compact"/>
              <w:spacing w:line="240" w:lineRule="auto" w:after="0"/>
            </w:pPr>
            <w:r>
              <w:rPr>
                <w:rFonts w:ascii="Times New Roman" w:hAnsi="Times New Roman"/>
                <w:sz w:val="16"/>
              </w:rPr>
              <w:t xml:space="preserve">1.24</w:t>
            </w:r>
          </w:p>
        </w:tc>
        <w:tc>
          <w:tcPr/>
          <w:p>
            <w:pPr>
              <w:pStyle w:val="Compact"/>
              <w:spacing w:line="240" w:lineRule="auto" w:after="0"/>
            </w:pPr>
            <w:r>
              <w:rPr>
                <w:rFonts w:ascii="Times New Roman" w:hAnsi="Times New Roman"/>
                <w:sz w:val="16"/>
              </w:rPr>
              <w:t xml:space="preserve">0.20</w:t>
            </w:r>
          </w:p>
        </w:tc>
        <w:tc>
          <w:tcPr/>
          <w:p>
            <w:pPr>
              <w:pStyle w:val="Compact"/>
              <w:spacing w:line="240" w:lineRule="auto" w:after="0"/>
            </w:pPr>
            <w:r>
              <w:rPr>
                <w:rFonts w:ascii="Times New Roman" w:hAnsi="Times New Roman"/>
                <w:sz w:val="16"/>
              </w:rPr>
              <w:t xml:space="preserve">246.5</w:t>
            </w:r>
          </w:p>
        </w:tc>
      </w:tr>
      <w:tr>
        <w:tc>
          <w:tcPr/>
          <w:p>
            <w:pPr>
              <w:pStyle w:val="Compact"/>
              <w:spacing w:line="240" w:lineRule="auto" w:after="0"/>
            </w:pPr>
            <w:r>
              <w:rPr>
                <w:rFonts w:ascii="Times New Roman" w:hAnsi="Times New Roman"/>
                <w:sz w:val="16"/>
              </w:rPr>
              <w:t xml:space="preserve">Negative binomial, recent effort as offset</w:t>
            </w:r>
          </w:p>
        </w:tc>
        <w:tc>
          <w:tcPr/>
          <w:p>
            <w:pPr>
              <w:pStyle w:val="Compact"/>
              <w:spacing w:line="240" w:lineRule="auto" w:after="0"/>
            </w:pPr>
            <w:r>
              <w:rPr>
                <w:rFonts w:ascii="Times New Roman" w:hAnsi="Times New Roman"/>
                <w:sz w:val="16"/>
              </w:rPr>
              <w:t xml:space="preserve">1.52</w:t>
            </w:r>
          </w:p>
        </w:tc>
        <w:tc>
          <w:tcPr/>
          <w:p>
            <w:pPr>
              <w:pStyle w:val="Compact"/>
              <w:spacing w:line="240" w:lineRule="auto" w:after="0"/>
            </w:pP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266.8</w:t>
            </w:r>
          </w:p>
        </w:tc>
      </w:tr>
    </w:tbl>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Term</w:t>
            </w:r>
          </w:p>
        </w:tc>
        <w:tc>
          <w:tcPr/>
          <w:p>
            <w:pPr>
              <w:pStyle w:val="Compact"/>
              <w:spacing w:line="240" w:lineRule="auto" w:after="0"/>
            </w:pPr>
            <w:r>
              <w:rPr>
                <w:rFonts w:ascii="Times New Roman" w:hAnsi="Times New Roman"/>
                <w:sz w:val="16"/>
              </w:rPr>
              <w:t xml:space="preserve">Counts, IRR</w:t>
            </w:r>
          </w:p>
        </w:tc>
        <w:tc>
          <w:tcPr/>
          <w:p>
            <w:pPr>
              <w:pStyle w:val="Compact"/>
              <w:spacing w:line="240" w:lineRule="auto" w:after="0"/>
            </w:pPr>
            <w:r>
              <w:rPr>
                <w:rFonts w:ascii="Times New Roman" w:hAnsi="Times New Roman"/>
                <w:sz w:val="16"/>
              </w:rPr>
              <w:t xml:space="preserve">Rate per unit of effort, IRR</w:t>
            </w:r>
          </w:p>
        </w:tc>
      </w:tr>
      <w:tr>
        <w:tc>
          <w:tcPr/>
          <w:p>
            <w:pPr>
              <w:pStyle w:val="Compact"/>
              <w:spacing w:line="240" w:lineRule="auto" w:after="0"/>
            </w:pPr>
            <w:r>
              <w:rPr>
                <w:rFonts w:ascii="Times New Roman" w:hAnsi="Times New Roman"/>
                <w:sz w:val="16"/>
              </w:rPr>
              <w:t xml:space="preserve">Regional species richness</w:t>
            </w:r>
          </w:p>
        </w:tc>
        <w:tc>
          <w:tcPr/>
          <w:p>
            <w:pPr>
              <w:pStyle w:val="Compact"/>
              <w:spacing w:line="240" w:lineRule="auto" w:after="0"/>
            </w:pPr>
            <w:r>
              <w:rPr>
                <w:rFonts w:ascii="Times New Roman" w:hAnsi="Times New Roman"/>
                <w:b/>
                <w:bCs/>
                <w:sz w:val="16"/>
              </w:rPr>
              <w:t xml:space="preserve">1.27</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0.036)</w:t>
            </w:r>
          </w:p>
        </w:tc>
        <w:tc>
          <w:tcPr/>
          <w:p>
            <w:pPr>
              <w:pStyle w:val="Compact"/>
              <w:spacing w:line="240" w:lineRule="auto" w:after="0"/>
            </w:pPr>
            <w:r>
              <w:rPr>
                <w:rFonts w:ascii="Times New Roman" w:hAnsi="Times New Roman"/>
                <w:sz w:val="16"/>
              </w:rPr>
              <w:t xml:space="preserve">0.89</w:t>
            </w:r>
          </w:p>
        </w:tc>
      </w:tr>
      <w:tr>
        <w:tc>
          <w:tcPr/>
          <w:p>
            <w:pPr>
              <w:pStyle w:val="Compact"/>
              <w:spacing w:line="240" w:lineRule="auto" w:after="0"/>
            </w:pPr>
            <w:r>
              <w:rPr>
                <w:rFonts w:ascii="Times New Roman" w:hAnsi="Times New Roman"/>
                <w:sz w:val="16"/>
              </w:rPr>
              <w:t xml:space="preserve">Early survey effort (2002–2008)</w:t>
            </w:r>
          </w:p>
        </w:tc>
        <w:tc>
          <w:tcPr/>
          <w:p>
            <w:pPr>
              <w:pStyle w:val="Compact"/>
              <w:spacing w:line="240" w:lineRule="auto" w:after="0"/>
            </w:pPr>
            <w:r>
              <w:rPr>
                <w:rFonts w:ascii="Times New Roman" w:hAnsi="Times New Roman"/>
                <w:sz w:val="16"/>
              </w:rPr>
              <w:t xml:space="preserve">0.92</w:t>
            </w:r>
          </w:p>
        </w:tc>
        <w:tc>
          <w:tcPr/>
          <w:p>
            <w:pPr>
              <w:pStyle w:val="Compact"/>
              <w:spacing w:line="240" w:lineRule="auto" w:after="0"/>
            </w:pPr>
            <w:r>
              <w:rPr>
                <w:rFonts w:ascii="Times New Roman" w:hAnsi="Times New Roman"/>
                <w:b/>
                <w:bCs/>
                <w:sz w:val="16"/>
              </w:rPr>
              <w:t xml:space="preserve">0.71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0.028)</w:t>
            </w:r>
          </w:p>
        </w:tc>
      </w:tr>
      <w:tr>
        <w:tc>
          <w:tcPr/>
          <w:p>
            <w:pPr>
              <w:pStyle w:val="Compact"/>
              <w:spacing w:line="240" w:lineRule="auto" w:after="0"/>
            </w:pPr>
            <w:r>
              <w:rPr>
                <w:rFonts w:ascii="Times New Roman" w:hAnsi="Times New Roman"/>
                <w:sz w:val="16"/>
              </w:rPr>
              <w:t xml:space="preserve">Recent survey effort (2009–2024)</w:t>
            </w:r>
          </w:p>
        </w:tc>
        <w:tc>
          <w:tcPr/>
          <w:p>
            <w:pPr>
              <w:pStyle w:val="Compact"/>
              <w:spacing w:line="240" w:lineRule="auto" w:after="0"/>
            </w:pPr>
            <w:r>
              <w:rPr>
                <w:rFonts w:ascii="Times New Roman" w:hAnsi="Times New Roman"/>
                <w:sz w:val="16"/>
              </w:rPr>
              <w:t xml:space="preserve">0.93</w:t>
            </w:r>
          </w:p>
        </w:tc>
        <w:tc>
          <w:tcPr/>
          <w:p>
            <w:pPr>
              <w:pStyle w:val="Compact"/>
              <w:spacing w:line="240" w:lineRule="auto" w:after="0"/>
            </w:pPr>
            <w:r>
              <w:rPr>
                <w:rFonts w:ascii="Times New Roman" w:hAnsi="Times New Roman"/>
                <w:i/>
                <w:iCs/>
                <w:sz w:val="16"/>
              </w:rPr>
              <w:t xml:space="preserve">offset</w:t>
            </w:r>
          </w:p>
        </w:tc>
      </w:tr>
      <w:tr>
        <w:tc>
          <w:tcPr/>
          <w:p>
            <w:pPr>
              <w:pStyle w:val="Compact"/>
              <w:spacing w:line="240" w:lineRule="auto" w:after="0"/>
            </w:pPr>
            <w:r>
              <w:rPr>
                <w:rFonts w:ascii="Times New Roman" w:hAnsi="Times New Roman"/>
                <w:sz w:val="16"/>
              </w:rPr>
              <w:t xml:space="preserve">GDP per capita</w:t>
            </w:r>
          </w:p>
        </w:tc>
        <w:tc>
          <w:tcPr/>
          <w:p>
            <w:pPr>
              <w:pStyle w:val="Compact"/>
              <w:spacing w:line="240" w:lineRule="auto" w:after="0"/>
            </w:pPr>
            <w:r>
              <w:rPr>
                <w:rFonts w:ascii="Times New Roman" w:hAnsi="Times New Roman"/>
                <w:sz w:val="16"/>
              </w:rPr>
              <w:t xml:space="preserve">1.10</w:t>
            </w:r>
          </w:p>
        </w:tc>
        <w:tc>
          <w:tcPr/>
          <w:p>
            <w:pPr>
              <w:pStyle w:val="Compact"/>
              <w:spacing w:line="240" w:lineRule="auto" w:after="0"/>
            </w:pPr>
            <w:r>
              <w:rPr>
                <w:rFonts w:ascii="Times New Roman" w:hAnsi="Times New Roman"/>
                <w:b/>
                <w:bCs/>
                <w:sz w:val="16"/>
              </w:rPr>
              <w:t xml:space="preserve">0.61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0.0027)</w:t>
            </w:r>
          </w:p>
        </w:tc>
      </w:tr>
      <w:tr>
        <w:tc>
          <w:tcPr/>
          <w:p>
            <w:pPr>
              <w:pStyle w:val="Compact"/>
              <w:spacing w:line="240" w:lineRule="auto" w:after="0"/>
            </w:pPr>
            <w:r>
              <w:rPr>
                <w:rFonts w:ascii="Times New Roman" w:hAnsi="Times New Roman"/>
                <w:sz w:val="16"/>
              </w:rPr>
              <w:t xml:space="preserve">Administrative area</w:t>
            </w:r>
          </w:p>
        </w:tc>
        <w:tc>
          <w:tcPr/>
          <w:p>
            <w:pPr>
              <w:pStyle w:val="Compact"/>
              <w:spacing w:line="240" w:lineRule="auto" w:after="0"/>
            </w:pPr>
            <w:r>
              <w:rPr>
                <w:rFonts w:ascii="Times New Roman" w:hAnsi="Times New Roman"/>
                <w:sz w:val="16"/>
              </w:rPr>
              <w:t xml:space="preserve">1.17</w:t>
            </w:r>
          </w:p>
        </w:tc>
        <w:tc>
          <w:tcPr/>
          <w:p>
            <w:pPr>
              <w:pStyle w:val="Compact"/>
              <w:spacing w:line="240" w:lineRule="auto" w:after="0"/>
            </w:pPr>
            <w:r>
              <w:rPr>
                <w:rFonts w:ascii="Times New Roman" w:hAnsi="Times New Roman"/>
                <w:sz w:val="16"/>
              </w:rPr>
              <w:t xml:space="preserve">1.20</w:t>
            </w:r>
          </w:p>
        </w:tc>
      </w:tr>
      <w:tr>
        <w:tc>
          <w:tcPr/>
          <w:p>
            <w:pPr>
              <w:pStyle w:val="Compact"/>
              <w:spacing w:line="240" w:lineRule="auto" w:after="0"/>
            </w:pPr>
            <w:r>
              <w:rPr>
                <w:rFonts w:ascii="Times New Roman" w:hAnsi="Times New Roman"/>
                <w:sz w:val="16"/>
              </w:rPr>
              <w:t xml:space="preserve">Habitat heterogeneity</w:t>
            </w:r>
          </w:p>
        </w:tc>
        <w:tc>
          <w:tcPr/>
          <w:p>
            <w:pPr>
              <w:pStyle w:val="Compact"/>
              <w:spacing w:line="240" w:lineRule="auto" w:after="0"/>
            </w:pPr>
            <w:r>
              <w:rPr>
                <w:rFonts w:ascii="Times New Roman" w:hAnsi="Times New Roman"/>
                <w:sz w:val="16"/>
              </w:rPr>
              <w:t xml:space="preserve">0.99</w:t>
            </w:r>
          </w:p>
        </w:tc>
        <w:tc>
          <w:tcPr/>
          <w:p>
            <w:pPr>
              <w:pStyle w:val="Compact"/>
              <w:spacing w:line="240" w:lineRule="auto" w:after="0"/>
            </w:pPr>
            <w:r>
              <w:rPr>
                <w:rFonts w:ascii="Times New Roman" w:hAnsi="Times New Roman"/>
                <w:sz w:val="16"/>
              </w:rPr>
              <w:t xml:space="preserve">1.03</w:t>
            </w:r>
          </w:p>
        </w:tc>
      </w:tr>
    </w:tbl>
    <w:bookmarkEnd w:id="22"/>
    <w:bookmarkStart w:id="23" w:name="Xe909a46294cb32873314eb4289e639d2f9fcf7f"/>
    <w:p>
      <w:pPr>
        <w:pStyle w:val="Heading3"/>
      </w:pPr>
      <w:r>
        <w:t xml:space="preserve">Supplementary Table S6. Species-level effects within groups</w:t>
      </w:r>
    </w:p>
    <w:p>
      <w:pPr>
        <w:pStyle w:val="FirstParagraph"/>
      </w:pPr>
      <w:r>
        <w:t xml:space="preserve">Species-level effects fitted separately within taxonomic and migratory groups, all</w:t>
      </w:r>
      <w:r>
        <w:t xml:space="preserve"> </w:t>
      </w:r>
      <w:r>
        <w:t xml:space="preserve">from phylogenetic logistic regression on the dated tree. Only significant terms are shown; full</w:t>
      </w:r>
      <w:r>
        <w:t xml:space="preserve"> </w:t>
      </w:r>
      <w:r>
        <w:t xml:space="preserve">results in</w:t>
      </w:r>
      <w:r>
        <w:t xml:space="preserve"> </w:t>
      </w:r>
      <w:r>
        <w:rPr>
          <w:rStyle w:val="VerbatimChar"/>
        </w:rPr>
        <w:t xml:space="preserve">tables/tbl_v2_species_group_effects.csv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Grouping</w:t>
            </w:r>
          </w:p>
        </w:tc>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i/>
                <w:iCs/>
                <w:sz w:val="16"/>
              </w:rPr>
              <w:t xml:space="preserve">n</w:t>
            </w:r>
            <w:r>
              <w:rPr>
                <w:rFonts w:ascii="Times New Roman" w:hAnsi="Times New Roman"/>
                <w:sz w:val="16"/>
              </w:rPr>
              <w:t xml:space="preserve"> </w:t>
            </w:r>
            <w:r>
              <w:rPr>
                <w:rFonts w:ascii="Times New Roman" w:hAnsi="Times New Roman"/>
                <w:sz w:val="16"/>
              </w:rPr>
              <w:t xml:space="preserve">species</w:t>
            </w:r>
          </w:p>
        </w:tc>
        <w:tc>
          <w:tcPr/>
          <w:p>
            <w:pPr>
              <w:pStyle w:val="Compact"/>
              <w:spacing w:line="240" w:lineRule="auto" w:after="0"/>
            </w:pPr>
            <w:r>
              <w:rPr>
                <w:rFonts w:ascii="Times New Roman" w:hAnsi="Times New Roman"/>
                <w:sz w:val="16"/>
              </w:rPr>
              <w:t xml:space="preserve">With records</w:t>
            </w:r>
          </w:p>
        </w:tc>
        <w:tc>
          <w:tcPr/>
          <w:p>
            <w:pPr>
              <w:pStyle w:val="Compact"/>
              <w:spacing w:line="240" w:lineRule="auto" w:after="0"/>
            </w:pPr>
            <w:r>
              <w:rPr>
                <w:rFonts w:ascii="Times New Roman" w:hAnsi="Times New Roman"/>
                <w:sz w:val="16"/>
              </w:rPr>
              <w:t xml:space="preserve">Significant terms (OR,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w:t>
            </w:r>
          </w:p>
        </w:tc>
      </w:tr>
      <w:tr>
        <w:tc>
          <w:tcPr/>
          <w:p>
            <w:pPr>
              <w:pStyle w:val="Compact"/>
              <w:spacing w:line="240" w:lineRule="auto" w:after="0"/>
            </w:pPr>
            <w:r>
              <w:rPr>
                <w:rFonts w:ascii="Times New Roman" w:hAnsi="Times New Roman"/>
                <w:sz w:val="16"/>
              </w:rPr>
              <w:t xml:space="preserve">Taxonomic</w:t>
            </w:r>
          </w:p>
        </w:tc>
        <w:tc>
          <w:tcPr/>
          <w:p>
            <w:pPr>
              <w:pStyle w:val="Compact"/>
              <w:spacing w:line="240" w:lineRule="auto" w:after="0"/>
            </w:pPr>
            <w:r>
              <w:rPr>
                <w:rFonts w:ascii="Times New Roman" w:hAnsi="Times New Roman"/>
                <w:sz w:val="16"/>
              </w:rPr>
              <w:t xml:space="preserve">Passeriformes</w:t>
            </w:r>
          </w:p>
        </w:tc>
        <w:tc>
          <w:tcPr/>
          <w:p>
            <w:pPr>
              <w:pStyle w:val="Compact"/>
              <w:spacing w:line="240" w:lineRule="auto" w:after="0"/>
            </w:pPr>
            <w:r>
              <w:rPr>
                <w:rFonts w:ascii="Times New Roman" w:hAnsi="Times New Roman"/>
                <w:sz w:val="16"/>
              </w:rPr>
              <w:t xml:space="preserve">710</w:t>
            </w:r>
          </w:p>
        </w:tc>
        <w:tc>
          <w:tcPr/>
          <w:p>
            <w:pPr>
              <w:pStyle w:val="Compact"/>
              <w:spacing w:line="240" w:lineRule="auto" w:after="0"/>
            </w:pPr>
            <w:r>
              <w:rPr>
                <w:rFonts w:ascii="Times New Roman" w:hAnsi="Times New Roman"/>
                <w:sz w:val="16"/>
              </w:rPr>
              <w:t xml:space="preserve">203</w:t>
            </w:r>
          </w:p>
        </w:tc>
        <w:tc>
          <w:tcPr/>
          <w:p>
            <w:pPr>
              <w:pStyle w:val="Compact"/>
              <w:spacing w:line="240" w:lineRule="auto" w:after="0"/>
            </w:pPr>
            <w:r>
              <w:rPr>
                <w:rFonts w:ascii="Times New Roman" w:hAnsi="Times New Roman"/>
                <w:sz w:val="16"/>
              </w:rPr>
              <w:t xml:space="preserve">Range size 1.53 (0.0020); partial migrant 2.01 (0.0081)</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Non-passerines</w:t>
            </w:r>
          </w:p>
        </w:tc>
        <w:tc>
          <w:tcPr/>
          <w:p>
            <w:pPr>
              <w:pStyle w:val="Compact"/>
              <w:spacing w:line="240" w:lineRule="auto" w:after="0"/>
            </w:pPr>
            <w:r>
              <w:rPr>
                <w:rFonts w:ascii="Times New Roman" w:hAnsi="Times New Roman"/>
                <w:sz w:val="16"/>
              </w:rPr>
              <w:t xml:space="preserve">588</w:t>
            </w:r>
          </w:p>
        </w:tc>
        <w:tc>
          <w:tcPr/>
          <w:p>
            <w:pPr>
              <w:pStyle w:val="Compact"/>
              <w:spacing w:line="240" w:lineRule="auto" w:after="0"/>
            </w:pPr>
            <w:r>
              <w:rPr>
                <w:rFonts w:ascii="Times New Roman" w:hAnsi="Times New Roman"/>
                <w:sz w:val="16"/>
              </w:rPr>
              <w:t xml:space="preserve">131</w:t>
            </w:r>
          </w:p>
        </w:tc>
        <w:tc>
          <w:tcPr/>
          <w:p>
            <w:pPr>
              <w:pStyle w:val="Compact"/>
              <w:spacing w:line="240" w:lineRule="auto" w:after="0"/>
            </w:pPr>
            <w:r>
              <w:rPr>
                <w:rFonts w:ascii="Times New Roman" w:hAnsi="Times New Roman"/>
                <w:sz w:val="16"/>
              </w:rPr>
              <w:t xml:space="preserve">Partial migrant 3.19 (3.3 × 10⁻⁴)</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All species</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Range size 1.44; partial migrant 1.91; open habitat 0.55</w:t>
            </w:r>
          </w:p>
        </w:tc>
      </w:tr>
      <w:tr>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567</w:t>
            </w:r>
          </w:p>
        </w:tc>
        <w:tc>
          <w:tcPr/>
          <w:p>
            <w:pPr>
              <w:pStyle w:val="Compact"/>
              <w:spacing w:line="240" w:lineRule="auto" w:after="0"/>
            </w:pPr>
            <w:r>
              <w:rPr>
                <w:rFonts w:ascii="Times New Roman" w:hAnsi="Times New Roman"/>
                <w:sz w:val="16"/>
              </w:rPr>
              <w:t xml:space="preserve">116</w:t>
            </w:r>
          </w:p>
        </w:tc>
        <w:tc>
          <w:tcPr/>
          <w:p>
            <w:pPr>
              <w:pStyle w:val="Compact"/>
              <w:spacing w:line="240" w:lineRule="auto" w:after="0"/>
            </w:pPr>
            <w:r>
              <w:rPr>
                <w:rFonts w:ascii="Times New Roman" w:hAnsi="Times New Roman"/>
                <w:sz w:val="16"/>
              </w:rPr>
              <w:t xml:space="preserve">Range size 1.60 (0.0042)</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228</w:t>
            </w:r>
          </w:p>
        </w:tc>
        <w:tc>
          <w:tcPr/>
          <w:p>
            <w:pPr>
              <w:pStyle w:val="Compact"/>
              <w:spacing w:line="240" w:lineRule="auto" w:after="0"/>
            </w:pPr>
            <w:r>
              <w:rPr>
                <w:rFonts w:ascii="Times New Roman" w:hAnsi="Times New Roman"/>
                <w:sz w:val="16"/>
              </w:rPr>
              <w:t xml:space="preserve">91</w:t>
            </w:r>
          </w:p>
        </w:tc>
        <w:tc>
          <w:tcPr/>
          <w:p>
            <w:pPr>
              <w:pStyle w:val="Compact"/>
              <w:spacing w:line="240" w:lineRule="auto" w:after="0"/>
            </w:pPr>
            <w:r>
              <w:rPr>
                <w:rFonts w:ascii="Times New Roman" w:hAnsi="Times New Roman"/>
                <w:sz w:val="16"/>
              </w:rPr>
              <w:t xml:space="preserve">Granivore 0.28 (0.044)</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503</w:t>
            </w:r>
          </w:p>
        </w:tc>
        <w:tc>
          <w:tcPr/>
          <w:p>
            <w:pPr>
              <w:pStyle w:val="Compact"/>
              <w:spacing w:line="240" w:lineRule="auto" w:after="0"/>
            </w:pPr>
            <w:r>
              <w:rPr>
                <w:rFonts w:ascii="Times New Roman" w:hAnsi="Times New Roman"/>
                <w:sz w:val="16"/>
              </w:rPr>
              <w:t xml:space="preserve">127</w:t>
            </w:r>
          </w:p>
        </w:tc>
        <w:tc>
          <w:tcPr/>
          <w:p>
            <w:pPr>
              <w:pStyle w:val="Compact"/>
              <w:spacing w:line="240" w:lineRule="auto" w:after="0"/>
            </w:pPr>
            <w:r>
              <w:rPr>
                <w:rFonts w:ascii="Times New Roman" w:hAnsi="Times New Roman"/>
                <w:sz w:val="16"/>
              </w:rPr>
              <w:t xml:space="preserve">Hand-wing index 0.51 (3.8 × 10⁻⁴); body mass 1.74 (0.0037); open habitat 0.42 (0.013)</w:t>
            </w:r>
          </w:p>
        </w:tc>
      </w:tr>
    </w:tbl>
    <w:bookmarkEnd w:id="23"/>
    <w:bookmarkStart w:id="24" w:name="X8de11ef46cf57080dd812651aa07d8790f2830a"/>
    <w:p>
      <w:pPr>
        <w:pStyle w:val="Heading3"/>
      </w:pPr>
      <w:r>
        <w:t xml:space="preserve">Supplementary Table S7. Risk-set bridge from compilation to modelling data</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threshold</w:t>
            </w:r>
          </w:p>
        </w:tc>
        <w:tc>
          <w:tcPr/>
          <w:p>
            <w:pPr>
              <w:pStyle w:val="Compact"/>
              <w:spacing w:line="240" w:lineRule="auto" w:after="0"/>
            </w:pPr>
            <w:r>
              <w:rPr>
                <w:rFonts w:ascii="Times New Roman" w:hAnsi="Times New Roman"/>
                <w:sz w:val="16"/>
              </w:rPr>
              <w:t xml:space="preserve">step</w:t>
            </w:r>
          </w:p>
        </w:tc>
        <w:tc>
          <w:tcPr/>
          <w:p>
            <w:pPr>
              <w:pStyle w:val="Compact"/>
              <w:spacing w:line="240" w:lineRule="auto" w:after="0"/>
            </w:pPr>
            <w:r>
              <w:rPr>
                <w:rFonts w:ascii="Times New Roman" w:hAnsi="Times New Roman"/>
                <w:sz w:val="16"/>
              </w:rPr>
              <w:t xml:space="preserve">pairs</w:t>
            </w:r>
          </w:p>
        </w:tc>
        <w:tc>
          <w:tcPr/>
          <w:p>
            <w:pPr>
              <w:pStyle w:val="Compact"/>
              <w:spacing w:line="240" w:lineRule="auto" w:after="0"/>
            </w:pPr>
            <w:r>
              <w:rPr>
                <w:rFonts w:ascii="Times New Roman" w:hAnsi="Times New Roman"/>
                <w:sz w:val="16"/>
              </w:rPr>
              <w:t xml:space="preserve">rows</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note</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8330</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8308</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r>
              <w:rPr>
                <w:rFonts w:ascii="Times New Roman" w:hAnsi="Times New Roman"/>
                <w:sz w:val="16"/>
              </w:rPr>
              <w:t xml:space="preserve">185478</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8140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7667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7645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170229</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165135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7225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7203</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14 event pairs added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160132</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155435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bl>
    <w:bookmarkEnd w:id="24"/>
    <w:bookmarkStart w:id="25" w:name="X08ff46629d4089bded1a9cd2f447f07c55b5c20"/>
    <w:p>
      <w:pPr>
        <w:pStyle w:val="Heading3"/>
      </w:pPr>
      <w:r>
        <w:t xml:space="preserve">Supplementary Table S8. Fine accumulation-window grid, 3–23 years</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spacing w:line="240" w:lineRule="auto" w:after="0"/>
            </w:pPr>
            <w:r>
              <w:rPr>
                <w:rFonts w:ascii="Times New Roman" w:hAnsi="Times New Roman"/>
                <w:sz w:val="16"/>
              </w:rPr>
              <w:t xml:space="preserve">indicator</w:t>
            </w:r>
          </w:p>
        </w:tc>
        <w:tc>
          <w:tcPr/>
          <w:p>
            <w:pPr>
              <w:pStyle w:val="Compact"/>
              <w:spacing w:line="240" w:lineRule="auto" w:after="0"/>
            </w:pPr>
            <w:r>
              <w:rPr>
                <w:rFonts w:ascii="Times New Roman" w:hAnsi="Times New Roman"/>
                <w:sz w:val="16"/>
              </w:rPr>
              <w:t xml:space="preserve">window</w:t>
            </w:r>
          </w:p>
        </w:tc>
        <w:tc>
          <w:tcPr/>
          <w:p>
            <w:pPr>
              <w:pStyle w:val="Compact"/>
              <w:spacing w:line="240" w:lineRule="auto" w:after="0"/>
            </w:pPr>
            <w:r>
              <w:rPr>
                <w:rFonts w:ascii="Times New Roman" w:hAnsi="Times New Roman"/>
                <w:sz w:val="16"/>
              </w:rPr>
              <w:t xml:space="preserve">n</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AIC</w:t>
            </w:r>
          </w:p>
        </w:tc>
        <w:tc>
          <w:tcPr/>
          <w:p>
            <w:pPr>
              <w:pStyle w:val="Compact"/>
              <w:spacing w:line="240" w:lineRule="auto" w:after="0"/>
            </w:pPr>
            <w:r>
              <w:rPr>
                <w:rFonts w:ascii="Times New Roman" w:hAnsi="Times New Roman"/>
                <w:sz w:val="16"/>
              </w:rPr>
              <w:t xml:space="preserve">HR_change</w:t>
            </w:r>
          </w:p>
        </w:tc>
        <w:tc>
          <w:tcPr/>
          <w:p>
            <w:pPr>
              <w:pStyle w:val="Compact"/>
              <w:spacing w:line="240" w:lineRule="auto" w:after="0"/>
            </w:pPr>
            <w:r>
              <w:rPr>
                <w:rFonts w:ascii="Times New Roman" w:hAnsi="Times New Roman"/>
                <w:sz w:val="16"/>
              </w:rPr>
              <w:t xml:space="preserve">P_change</w:t>
            </w:r>
          </w:p>
        </w:tc>
        <w:tc>
          <w:tcPr/>
          <w:p>
            <w:pPr>
              <w:pStyle w:val="Compact"/>
              <w:spacing w:line="240" w:lineRule="auto" w:after="0"/>
            </w:pPr>
            <w:r>
              <w:rPr>
                <w:rFonts w:ascii="Times New Roman" w:hAnsi="Times New Roman"/>
                <w:sz w:val="16"/>
              </w:rPr>
              <w:t xml:space="preserve">HR_effort</w:t>
            </w:r>
          </w:p>
        </w:tc>
        <w:tc>
          <w:tcPr/>
          <w:p>
            <w:pPr>
              <w:pStyle w:val="Compact"/>
              <w:spacing w:line="240" w:lineRule="auto" w:after="0"/>
            </w:pPr>
            <w:r>
              <w:rPr>
                <w:rFonts w:ascii="Times New Roman" w:hAnsi="Times New Roman"/>
                <w:sz w:val="16"/>
              </w:rPr>
              <w:t xml:space="preserve">P_effort</w:t>
            </w:r>
          </w:p>
        </w:tc>
        <w:tc>
          <w:tcPr/>
          <w:p>
            <w:pPr>
              <w:pStyle w:val="Compact"/>
              <w:spacing w:line="240" w:lineRule="auto" w:after="0"/>
            </w:pPr>
            <w:r>
              <w:rPr>
                <w:rFonts w:ascii="Times New Roman" w:hAnsi="Times New Roman"/>
                <w:sz w:val="16"/>
              </w:rPr>
              <w:t xml:space="preserve">HR_var</w:t>
            </w:r>
          </w:p>
        </w:tc>
        <w:tc>
          <w:tcPr/>
          <w:p>
            <w:pPr>
              <w:pStyle w:val="Compact"/>
              <w:spacing w:line="240" w:lineRule="auto" w:after="0"/>
            </w:pPr>
            <w:r>
              <w:rPr>
                <w:rFonts w:ascii="Times New Roman" w:hAnsi="Times New Roman"/>
                <w:sz w:val="16"/>
              </w:rPr>
              <w:t xml:space="preserve">P_var</w:t>
            </w:r>
          </w:p>
        </w:tc>
        <w:tc>
          <w:tcPr/>
          <w:p>
            <w:pPr>
              <w:pStyle w:val="Compact"/>
              <w:spacing w:line="240" w:lineRule="auto" w:after="0"/>
            </w:pPr>
            <w:r>
              <w:rPr>
                <w:rFonts w:ascii="Times New Roman" w:hAnsi="Times New Roman"/>
                <w:sz w:val="16"/>
              </w:rPr>
              <w:t xml:space="preserve">HR_int</w:t>
            </w:r>
          </w:p>
        </w:tc>
        <w:tc>
          <w:tcPr/>
          <w:p>
            <w:pPr>
              <w:pStyle w:val="Compact"/>
              <w:spacing w:line="240" w:lineRule="auto" w:after="0"/>
            </w:pPr>
            <w:r>
              <w:rPr>
                <w:rFonts w:ascii="Times New Roman" w:hAnsi="Times New Roman"/>
                <w:sz w:val="16"/>
              </w:rPr>
              <w:t xml:space="preserve">P_int</w:t>
            </w:r>
          </w:p>
        </w:tc>
        <w:tc>
          <w:tcPr/>
          <w:p>
            <w:pPr>
              <w:pStyle w:val="Compact"/>
              <w:spacing w:line="240" w:lineRule="auto" w:after="0"/>
            </w:pPr>
            <w:r>
              <w:rPr>
                <w:rFonts w:ascii="Times New Roman" w:hAnsi="Times New Roman"/>
                <w:sz w:val="16"/>
              </w:rPr>
              <w:t xml:space="preserve">cor_change_var</w:t>
            </w:r>
          </w:p>
        </w:tc>
        <w:tc>
          <w:tcPr/>
          <w:p>
            <w:pPr>
              <w:pStyle w:val="Compact"/>
              <w:spacing w:line="240" w:lineRule="auto" w:after="0"/>
            </w:pPr>
            <w:r>
              <w:rPr>
                <w:rFonts w:ascii="Times New Roman" w:hAnsi="Times New Roman"/>
                <w:sz w:val="16"/>
              </w:rPr>
              <w:t xml:space="preserve">sd_change</w:t>
            </w:r>
          </w:p>
        </w:tc>
        <w:tc>
          <w:tcPr/>
          <w:p>
            <w:pPr>
              <w:pStyle w:val="Compact"/>
              <w:spacing w:line="240" w:lineRule="auto" w:after="0"/>
            </w:pPr>
            <w:r>
              <w:rPr>
                <w:rFonts w:ascii="Times New Roman" w:hAnsi="Times New Roman"/>
                <w:sz w:val="16"/>
              </w:rPr>
              <w:t xml:space="preserve">sd_var</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8334.74547010848</w:t>
            </w:r>
          </w:p>
        </w:tc>
        <w:tc>
          <w:tcPr/>
          <w:p>
            <w:pPr>
              <w:pStyle w:val="Compact"/>
              <w:spacing w:line="240" w:lineRule="auto" w:after="0"/>
            </w:pPr>
            <w:r>
              <w:rPr>
                <w:rFonts w:ascii="Times New Roman" w:hAnsi="Times New Roman"/>
                <w:sz w:val="16"/>
              </w:rPr>
              <w:t xml:space="preserve">1.16687433053163</w:t>
            </w:r>
          </w:p>
        </w:tc>
        <w:tc>
          <w:tcPr/>
          <w:p>
            <w:pPr>
              <w:pStyle w:val="Compact"/>
              <w:spacing w:line="240" w:lineRule="auto" w:after="0"/>
            </w:pPr>
            <w:r>
              <w:rPr>
                <w:rFonts w:ascii="Times New Roman" w:hAnsi="Times New Roman"/>
                <w:sz w:val="16"/>
              </w:rPr>
              <w:t xml:space="preserve">0.00308143421236181</w:t>
            </w:r>
          </w:p>
        </w:tc>
        <w:tc>
          <w:tcPr/>
          <w:p>
            <w:pPr>
              <w:pStyle w:val="Compact"/>
              <w:spacing w:line="240" w:lineRule="auto" w:after="0"/>
            </w:pPr>
            <w:r>
              <w:rPr>
                <w:rFonts w:ascii="Times New Roman" w:hAnsi="Times New Roman"/>
                <w:sz w:val="16"/>
              </w:rPr>
              <w:t xml:space="preserve">1.39203175633644</w:t>
            </w:r>
          </w:p>
        </w:tc>
        <w:tc>
          <w:tcPr/>
          <w:p>
            <w:pPr>
              <w:pStyle w:val="Compact"/>
              <w:spacing w:line="240" w:lineRule="auto" w:after="0"/>
            </w:pPr>
            <w:r>
              <w:rPr>
                <w:rFonts w:ascii="Times New Roman" w:hAnsi="Times New Roman"/>
                <w:sz w:val="16"/>
              </w:rPr>
              <w:t xml:space="preserve">8.22817372592171e-08</w:t>
            </w:r>
          </w:p>
        </w:tc>
        <w:tc>
          <w:tcPr/>
          <w:p>
            <w:pPr>
              <w:pStyle w:val="Compact"/>
              <w:spacing w:line="240" w:lineRule="auto" w:after="0"/>
            </w:pPr>
            <w:r>
              <w:rPr>
                <w:rFonts w:ascii="Times New Roman" w:hAnsi="Times New Roman"/>
                <w:sz w:val="16"/>
              </w:rPr>
              <w:t xml:space="preserve">1.0102091915128</w:t>
            </w:r>
          </w:p>
        </w:tc>
        <w:tc>
          <w:tcPr/>
          <w:p>
            <w:pPr>
              <w:pStyle w:val="Compact"/>
              <w:spacing w:line="240" w:lineRule="auto" w:after="0"/>
            </w:pPr>
            <w:r>
              <w:rPr>
                <w:rFonts w:ascii="Times New Roman" w:hAnsi="Times New Roman"/>
                <w:sz w:val="16"/>
              </w:rPr>
              <w:t xml:space="preserve">0.824289105225732</w:t>
            </w:r>
          </w:p>
        </w:tc>
        <w:tc>
          <w:tcPr/>
          <w:p>
            <w:pPr>
              <w:pStyle w:val="Compact"/>
              <w:spacing w:line="240" w:lineRule="auto" w:after="0"/>
            </w:pPr>
            <w:r>
              <w:rPr>
                <w:rFonts w:ascii="Times New Roman" w:hAnsi="Times New Roman"/>
                <w:sz w:val="16"/>
              </w:rPr>
              <w:t xml:space="preserve">0.897275949066271</w:t>
            </w:r>
          </w:p>
        </w:tc>
        <w:tc>
          <w:tcPr/>
          <w:p>
            <w:pPr>
              <w:pStyle w:val="Compact"/>
              <w:spacing w:line="240" w:lineRule="auto" w:after="0"/>
            </w:pPr>
            <w:r>
              <w:rPr>
                <w:rFonts w:ascii="Times New Roman" w:hAnsi="Times New Roman"/>
                <w:sz w:val="16"/>
              </w:rPr>
              <w:t xml:space="preserve">0.044704290400132</w:t>
            </w:r>
          </w:p>
        </w:tc>
        <w:tc>
          <w:tcPr/>
          <w:p>
            <w:pPr>
              <w:pStyle w:val="Compact"/>
              <w:spacing w:line="240" w:lineRule="auto" w:after="0"/>
            </w:pPr>
            <w:r>
              <w:rPr>
                <w:rFonts w:ascii="Times New Roman" w:hAnsi="Times New Roman"/>
                <w:sz w:val="16"/>
              </w:rPr>
              <w:t xml:space="preserve">0.0229924154514988</w:t>
            </w:r>
          </w:p>
        </w:tc>
        <w:tc>
          <w:tcPr/>
          <w:p>
            <w:pPr>
              <w:pStyle w:val="Compact"/>
              <w:spacing w:line="240" w:lineRule="auto" w:after="0"/>
            </w:pPr>
            <w:r>
              <w:rPr>
                <w:rFonts w:ascii="Times New Roman" w:hAnsi="Times New Roman"/>
                <w:sz w:val="16"/>
              </w:rPr>
              <w:t xml:space="preserve">0.244518445153784</w:t>
            </w:r>
          </w:p>
        </w:tc>
        <w:tc>
          <w:tcPr/>
          <w:p>
            <w:pPr>
              <w:pStyle w:val="Compact"/>
              <w:spacing w:line="240" w:lineRule="auto" w:after="0"/>
            </w:pPr>
            <w:r>
              <w:rPr>
                <w:rFonts w:ascii="Times New Roman" w:hAnsi="Times New Roman"/>
                <w:sz w:val="16"/>
              </w:rPr>
              <w:t xml:space="preserve">0.307624841763943</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8327.8514269459</w:t>
            </w:r>
          </w:p>
        </w:tc>
        <w:tc>
          <w:tcPr/>
          <w:p>
            <w:pPr>
              <w:pStyle w:val="Compact"/>
              <w:spacing w:line="240" w:lineRule="auto" w:after="0"/>
            </w:pPr>
            <w:r>
              <w:rPr>
                <w:rFonts w:ascii="Times New Roman" w:hAnsi="Times New Roman"/>
                <w:sz w:val="16"/>
              </w:rPr>
              <w:t xml:space="preserve">1.21277497955454</w:t>
            </w:r>
          </w:p>
        </w:tc>
        <w:tc>
          <w:tcPr/>
          <w:p>
            <w:pPr>
              <w:pStyle w:val="Compact"/>
              <w:spacing w:line="240" w:lineRule="auto" w:after="0"/>
            </w:pPr>
            <w:r>
              <w:rPr>
                <w:rFonts w:ascii="Times New Roman" w:hAnsi="Times New Roman"/>
                <w:sz w:val="16"/>
              </w:rPr>
              <w:t xml:space="preserve">0.000613392432158084</w:t>
            </w:r>
          </w:p>
        </w:tc>
        <w:tc>
          <w:tcPr/>
          <w:p>
            <w:pPr>
              <w:pStyle w:val="Compact"/>
              <w:spacing w:line="240" w:lineRule="auto" w:after="0"/>
            </w:pPr>
            <w:r>
              <w:rPr>
                <w:rFonts w:ascii="Times New Roman" w:hAnsi="Times New Roman"/>
                <w:sz w:val="16"/>
              </w:rPr>
              <w:t xml:space="preserve">1.4067312756397</w:t>
            </w:r>
          </w:p>
        </w:tc>
        <w:tc>
          <w:tcPr/>
          <w:p>
            <w:pPr>
              <w:pStyle w:val="Compact"/>
              <w:spacing w:line="240" w:lineRule="auto" w:after="0"/>
            </w:pPr>
            <w:r>
              <w:rPr>
                <w:rFonts w:ascii="Times New Roman" w:hAnsi="Times New Roman"/>
                <w:sz w:val="16"/>
              </w:rPr>
              <w:t xml:space="preserve">3.39416619968756e-08</w:t>
            </w:r>
          </w:p>
        </w:tc>
        <w:tc>
          <w:tcPr/>
          <w:p>
            <w:pPr>
              <w:pStyle w:val="Compact"/>
              <w:spacing w:line="240" w:lineRule="auto" w:after="0"/>
            </w:pPr>
            <w:r>
              <w:rPr>
                <w:rFonts w:ascii="Times New Roman" w:hAnsi="Times New Roman"/>
                <w:sz w:val="16"/>
              </w:rPr>
              <w:t xml:space="preserve">1.02214487466341</w:t>
            </w:r>
          </w:p>
        </w:tc>
        <w:tc>
          <w:tcPr/>
          <w:p>
            <w:pPr>
              <w:pStyle w:val="Compact"/>
              <w:spacing w:line="240" w:lineRule="auto" w:after="0"/>
            </w:pPr>
            <w:r>
              <w:rPr>
                <w:rFonts w:ascii="Times New Roman" w:hAnsi="Times New Roman"/>
                <w:sz w:val="16"/>
              </w:rPr>
              <w:t xml:space="preserve">0.632978890821376</w:t>
            </w:r>
          </w:p>
        </w:tc>
        <w:tc>
          <w:tcPr/>
          <w:p>
            <w:pPr>
              <w:pStyle w:val="Compact"/>
              <w:spacing w:line="240" w:lineRule="auto" w:after="0"/>
            </w:pPr>
            <w:r>
              <w:rPr>
                <w:rFonts w:ascii="Times New Roman" w:hAnsi="Times New Roman"/>
                <w:sz w:val="16"/>
              </w:rPr>
              <w:t xml:space="preserve">0.846781407584866</w:t>
            </w:r>
          </w:p>
        </w:tc>
        <w:tc>
          <w:tcPr/>
          <w:p>
            <w:pPr>
              <w:pStyle w:val="Compact"/>
              <w:spacing w:line="240" w:lineRule="auto" w:after="0"/>
            </w:pPr>
            <w:r>
              <w:rPr>
                <w:rFonts w:ascii="Times New Roman" w:hAnsi="Times New Roman"/>
                <w:sz w:val="16"/>
              </w:rPr>
              <w:t xml:space="preserve">0.00195203763706829</w:t>
            </w:r>
          </w:p>
        </w:tc>
        <w:tc>
          <w:tcPr/>
          <w:p>
            <w:pPr>
              <w:pStyle w:val="Compact"/>
              <w:spacing w:line="240" w:lineRule="auto" w:after="0"/>
            </w:pPr>
            <w:r>
              <w:rPr>
                <w:rFonts w:ascii="Times New Roman" w:hAnsi="Times New Roman"/>
                <w:sz w:val="16"/>
              </w:rPr>
              <w:t xml:space="preserve">-0.00202422619321214</w:t>
            </w:r>
          </w:p>
        </w:tc>
        <w:tc>
          <w:tcPr/>
          <w:p>
            <w:pPr>
              <w:pStyle w:val="Compact"/>
              <w:spacing w:line="240" w:lineRule="auto" w:after="0"/>
            </w:pPr>
            <w:r>
              <w:rPr>
                <w:rFonts w:ascii="Times New Roman" w:hAnsi="Times New Roman"/>
                <w:sz w:val="16"/>
              </w:rPr>
              <w:t xml:space="preserve">0.204928042873436</w:t>
            </w:r>
          </w:p>
        </w:tc>
        <w:tc>
          <w:tcPr/>
          <w:p>
            <w:pPr>
              <w:pStyle w:val="Compact"/>
              <w:spacing w:line="240" w:lineRule="auto" w:after="0"/>
            </w:pPr>
            <w:r>
              <w:rPr>
                <w:rFonts w:ascii="Times New Roman" w:hAnsi="Times New Roman"/>
                <w:sz w:val="16"/>
              </w:rPr>
              <w:t xml:space="preserve">0.340835089204242</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8313.15361099188</w:t>
            </w:r>
          </w:p>
        </w:tc>
        <w:tc>
          <w:tcPr/>
          <w:p>
            <w:pPr>
              <w:pStyle w:val="Compact"/>
              <w:spacing w:line="240" w:lineRule="auto" w:after="0"/>
            </w:pPr>
            <w:r>
              <w:rPr>
                <w:rFonts w:ascii="Times New Roman" w:hAnsi="Times New Roman"/>
                <w:sz w:val="16"/>
              </w:rPr>
              <w:t xml:space="preserve">1.36164754167317</w:t>
            </w:r>
          </w:p>
        </w:tc>
        <w:tc>
          <w:tcPr/>
          <w:p>
            <w:pPr>
              <w:pStyle w:val="Compact"/>
              <w:spacing w:line="240" w:lineRule="auto" w:after="0"/>
            </w:pPr>
            <w:r>
              <w:rPr>
                <w:rFonts w:ascii="Times New Roman" w:hAnsi="Times New Roman"/>
                <w:sz w:val="16"/>
              </w:rPr>
              <w:t xml:space="preserve">8.33903878612454e-08</w:t>
            </w:r>
          </w:p>
        </w:tc>
        <w:tc>
          <w:tcPr/>
          <w:p>
            <w:pPr>
              <w:pStyle w:val="Compact"/>
              <w:spacing w:line="240" w:lineRule="auto" w:after="0"/>
            </w:pPr>
            <w:r>
              <w:rPr>
                <w:rFonts w:ascii="Times New Roman" w:hAnsi="Times New Roman"/>
                <w:sz w:val="16"/>
              </w:rPr>
              <w:t xml:space="preserve">1.4038169859134</w:t>
            </w:r>
          </w:p>
        </w:tc>
        <w:tc>
          <w:tcPr/>
          <w:p>
            <w:pPr>
              <w:pStyle w:val="Compact"/>
              <w:spacing w:line="240" w:lineRule="auto" w:after="0"/>
            </w:pPr>
            <w:r>
              <w:rPr>
                <w:rFonts w:ascii="Times New Roman" w:hAnsi="Times New Roman"/>
                <w:sz w:val="16"/>
              </w:rPr>
              <w:t xml:space="preserve">2.89651690863056e-08</w:t>
            </w:r>
          </w:p>
        </w:tc>
        <w:tc>
          <w:tcPr/>
          <w:p>
            <w:pPr>
              <w:pStyle w:val="Compact"/>
              <w:spacing w:line="240" w:lineRule="auto" w:after="0"/>
            </w:pPr>
            <w:r>
              <w:rPr>
                <w:rFonts w:ascii="Times New Roman" w:hAnsi="Times New Roman"/>
                <w:sz w:val="16"/>
              </w:rPr>
              <w:t xml:space="preserve">0.995095739809156</w:t>
            </w:r>
          </w:p>
        </w:tc>
        <w:tc>
          <w:tcPr/>
          <w:p>
            <w:pPr>
              <w:pStyle w:val="Compact"/>
              <w:spacing w:line="240" w:lineRule="auto" w:after="0"/>
            </w:pPr>
            <w:r>
              <w:rPr>
                <w:rFonts w:ascii="Times New Roman" w:hAnsi="Times New Roman"/>
                <w:sz w:val="16"/>
              </w:rPr>
              <w:t xml:space="preserve">0.91565385817717</w:t>
            </w:r>
          </w:p>
        </w:tc>
        <w:tc>
          <w:tcPr/>
          <w:p>
            <w:pPr>
              <w:pStyle w:val="Compact"/>
              <w:spacing w:line="240" w:lineRule="auto" w:after="0"/>
            </w:pPr>
            <w:r>
              <w:rPr>
                <w:rFonts w:ascii="Times New Roman" w:hAnsi="Times New Roman"/>
                <w:sz w:val="16"/>
              </w:rPr>
              <w:t xml:space="preserve">0.84924794872335</w:t>
            </w:r>
          </w:p>
        </w:tc>
        <w:tc>
          <w:tcPr/>
          <w:p>
            <w:pPr>
              <w:pStyle w:val="Compact"/>
              <w:spacing w:line="240" w:lineRule="auto" w:after="0"/>
            </w:pPr>
            <w:r>
              <w:rPr>
                <w:rFonts w:ascii="Times New Roman" w:hAnsi="Times New Roman"/>
                <w:sz w:val="16"/>
              </w:rPr>
              <w:t xml:space="preserve">0.00365005267236242</w:t>
            </w:r>
          </w:p>
        </w:tc>
        <w:tc>
          <w:tcPr/>
          <w:p>
            <w:pPr>
              <w:pStyle w:val="Compact"/>
              <w:spacing w:line="240" w:lineRule="auto" w:after="0"/>
            </w:pPr>
            <w:r>
              <w:rPr>
                <w:rFonts w:ascii="Times New Roman" w:hAnsi="Times New Roman"/>
                <w:sz w:val="16"/>
              </w:rPr>
              <w:t xml:space="preserve">-0.00581566949011493</w:t>
            </w:r>
          </w:p>
        </w:tc>
        <w:tc>
          <w:tcPr/>
          <w:p>
            <w:pPr>
              <w:pStyle w:val="Compact"/>
              <w:spacing w:line="240" w:lineRule="auto" w:after="0"/>
            </w:pPr>
            <w:r>
              <w:rPr>
                <w:rFonts w:ascii="Times New Roman" w:hAnsi="Times New Roman"/>
                <w:sz w:val="16"/>
              </w:rPr>
              <w:t xml:space="preserve">0.179344940725948</w:t>
            </w:r>
          </w:p>
        </w:tc>
        <w:tc>
          <w:tcPr/>
          <w:p>
            <w:pPr>
              <w:pStyle w:val="Compact"/>
              <w:spacing w:line="240" w:lineRule="auto" w:after="0"/>
            </w:pPr>
            <w:r>
              <w:rPr>
                <w:rFonts w:ascii="Times New Roman" w:hAnsi="Times New Roman"/>
                <w:sz w:val="16"/>
              </w:rPr>
              <w:t xml:space="preserve">0.35561002852531</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20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8310.95070849146</w:t>
            </w:r>
          </w:p>
        </w:tc>
        <w:tc>
          <w:tcPr/>
          <w:p>
            <w:pPr>
              <w:pStyle w:val="Compact"/>
              <w:spacing w:line="240" w:lineRule="auto" w:after="0"/>
            </w:pPr>
            <w:r>
              <w:rPr>
                <w:rFonts w:ascii="Times New Roman" w:hAnsi="Times New Roman"/>
                <w:sz w:val="16"/>
              </w:rPr>
              <w:t xml:space="preserve">1.39643304332344</w:t>
            </w:r>
          </w:p>
        </w:tc>
        <w:tc>
          <w:tcPr/>
          <w:p>
            <w:pPr>
              <w:pStyle w:val="Compact"/>
              <w:spacing w:line="240" w:lineRule="auto" w:after="0"/>
            </w:pPr>
            <w:r>
              <w:rPr>
                <w:rFonts w:ascii="Times New Roman" w:hAnsi="Times New Roman"/>
                <w:sz w:val="16"/>
              </w:rPr>
              <w:t xml:space="preserve">1.48837451312238e-08</w:t>
            </w:r>
          </w:p>
        </w:tc>
        <w:tc>
          <w:tcPr/>
          <w:p>
            <w:pPr>
              <w:pStyle w:val="Compact"/>
              <w:spacing w:line="240" w:lineRule="auto" w:after="0"/>
            </w:pPr>
            <w:r>
              <w:rPr>
                <w:rFonts w:ascii="Times New Roman" w:hAnsi="Times New Roman"/>
                <w:sz w:val="16"/>
              </w:rPr>
              <w:t xml:space="preserve">1.39987775187103</w:t>
            </w:r>
          </w:p>
        </w:tc>
        <w:tc>
          <w:tcPr/>
          <w:p>
            <w:pPr>
              <w:pStyle w:val="Compact"/>
              <w:spacing w:line="240" w:lineRule="auto" w:after="0"/>
            </w:pPr>
            <w:r>
              <w:rPr>
                <w:rFonts w:ascii="Times New Roman" w:hAnsi="Times New Roman"/>
                <w:sz w:val="16"/>
              </w:rPr>
              <w:t xml:space="preserve">3.06713113126806e-08</w:t>
            </w:r>
          </w:p>
        </w:tc>
        <w:tc>
          <w:tcPr/>
          <w:p>
            <w:pPr>
              <w:pStyle w:val="Compact"/>
              <w:spacing w:line="240" w:lineRule="auto" w:after="0"/>
            </w:pPr>
            <w:r>
              <w:rPr>
                <w:rFonts w:ascii="Times New Roman" w:hAnsi="Times New Roman"/>
                <w:sz w:val="16"/>
              </w:rPr>
              <w:t xml:space="preserve">1.0000016932692</w:t>
            </w:r>
          </w:p>
        </w:tc>
        <w:tc>
          <w:tcPr/>
          <w:p>
            <w:pPr>
              <w:pStyle w:val="Compact"/>
              <w:spacing w:line="240" w:lineRule="auto" w:after="0"/>
            </w:pPr>
            <w:r>
              <w:rPr>
                <w:rFonts w:ascii="Times New Roman" w:hAnsi="Times New Roman"/>
                <w:sz w:val="16"/>
              </w:rPr>
              <w:t xml:space="preserve">0.999971191251049</w:t>
            </w:r>
          </w:p>
        </w:tc>
        <w:tc>
          <w:tcPr/>
          <w:p>
            <w:pPr>
              <w:pStyle w:val="Compact"/>
              <w:spacing w:line="240" w:lineRule="auto" w:after="0"/>
            </w:pPr>
            <w:r>
              <w:rPr>
                <w:rFonts w:ascii="Times New Roman" w:hAnsi="Times New Roman"/>
                <w:sz w:val="16"/>
              </w:rPr>
              <w:t xml:space="preserve">0.823324494218752</w:t>
            </w:r>
          </w:p>
        </w:tc>
        <w:tc>
          <w:tcPr/>
          <w:p>
            <w:pPr>
              <w:pStyle w:val="Compact"/>
              <w:spacing w:line="240" w:lineRule="auto" w:after="0"/>
            </w:pPr>
            <w:r>
              <w:rPr>
                <w:rFonts w:ascii="Times New Roman" w:hAnsi="Times New Roman"/>
                <w:sz w:val="16"/>
              </w:rPr>
              <w:t xml:space="preserve">0.000330950948500261</w:t>
            </w:r>
          </w:p>
        </w:tc>
        <w:tc>
          <w:tcPr/>
          <w:p>
            <w:pPr>
              <w:pStyle w:val="Compact"/>
              <w:spacing w:line="240" w:lineRule="auto" w:after="0"/>
            </w:pPr>
            <w:r>
              <w:rPr>
                <w:rFonts w:ascii="Times New Roman" w:hAnsi="Times New Roman"/>
                <w:sz w:val="16"/>
              </w:rPr>
              <w:t xml:space="preserve">0.0396801488719948</w:t>
            </w:r>
          </w:p>
        </w:tc>
        <w:tc>
          <w:tcPr/>
          <w:p>
            <w:pPr>
              <w:pStyle w:val="Compact"/>
              <w:spacing w:line="240" w:lineRule="auto" w:after="0"/>
            </w:pPr>
            <w:r>
              <w:rPr>
                <w:rFonts w:ascii="Times New Roman" w:hAnsi="Times New Roman"/>
                <w:sz w:val="16"/>
              </w:rPr>
              <w:t xml:space="preserve">0.15415453723643</w:t>
            </w:r>
          </w:p>
        </w:tc>
        <w:tc>
          <w:tcPr/>
          <w:p>
            <w:pPr>
              <w:pStyle w:val="Compact"/>
              <w:spacing w:line="240" w:lineRule="auto" w:after="0"/>
            </w:pPr>
            <w:r>
              <w:rPr>
                <w:rFonts w:ascii="Times New Roman" w:hAnsi="Times New Roman"/>
                <w:sz w:val="16"/>
              </w:rPr>
              <w:t xml:space="preserve">0.360154997655603</w:t>
            </w:r>
          </w:p>
        </w:tc>
      </w:tr>
    </w:tbl>
    <w:bookmarkEnd w:id="25"/>
    <w:bookmarkEnd w:id="26"/>
    <w:bookmarkStart w:id="87" w:name="supplementary-figures"/>
    <w:p>
      <w:pPr>
        <w:pStyle w:val="Heading2"/>
      </w:pPr>
      <w:r>
        <w:t xml:space="preserve">Supplementary Figures</w:t>
      </w:r>
    </w:p>
    <w:p>
      <w:pPr>
        <w:pStyle w:val="FirstParagraph"/>
      </w:pPr>
      <w:r>
        <w:drawing>
          <wp:inline>
            <wp:extent cx="5334000" cy="1877567"/>
            <wp:effectExtent b="0" l="0" r="0" t="0"/>
            <wp:docPr descr="" title="" id="28" name="Picture"/>
            <a:graphic>
              <a:graphicData uri="http://schemas.openxmlformats.org/drawingml/2006/picture">
                <pic:pic>
                  <pic:nvPicPr>
                    <pic:cNvPr descr="/Users/dingchenchen/Documents/New%20records/bird-new-distribution-records/tasks/bird_hazard_model_effort_upgrade_v2/analysis_v2/figures/Fig4_random_structure_v2.png" id="29" name="Picture"/>
                    <pic:cNvPicPr>
                      <a:picLocks noChangeArrowheads="1" noChangeAspect="1"/>
                    </pic:cNvPicPr>
                  </pic:nvPicPr>
                  <pic:blipFill>
                    <a:blip r:embed="rId27"/>
                    <a:stretch>
                      <a:fillRect/>
                    </a:stretch>
                  </pic:blipFill>
                  <pic:spPr bwMode="auto">
                    <a:xfrm>
                      <a:off x="0" y="0"/>
                      <a:ext cx="5334000" cy="1877567"/>
                    </a:xfrm>
                    <a:prstGeom prst="rect">
                      <a:avLst/>
                    </a:prstGeom>
                    <a:noFill/>
                    <a:ln w="9525">
                      <a:noFill/>
                      <a:headEnd/>
                      <a:tailEnd/>
                    </a:ln>
                  </pic:spPr>
                </pic:pic>
              </a:graphicData>
            </a:graphic>
          </wp:inline>
        </w:drawing>
      </w:r>
    </w:p>
    <w:p>
      <w:pPr>
        <w:pStyle w:val="BodyText"/>
      </w:pPr>
      <w:r>
        <w:rPr>
          <w:b/>
          <w:bCs/>
        </w:rPr>
        <w:t xml:space="preserve">Fig. S1 | Random-effect structures evaluated on fit, explanatory power, variance structure and ecological meaning.</w:t>
      </w:r>
      <w:r>
        <w:t xml:space="preserve"> </w:t>
      </w:r>
      <w:r>
        <w:rPr>
          <w:b/>
          <w:bCs/>
        </w:rPr>
        <w:t xml:space="preserve">a</w:t>
      </w:r>
      <w:r>
        <w:t xml:space="preserve">, ΔAIC; the main model is highlighted.</w:t>
      </w:r>
      <w:r>
        <w:t xml:space="preserve"> </w:t>
      </w:r>
      <w:r>
        <w:rPr>
          <w:b/>
          <w:bCs/>
        </w:rPr>
        <w:t xml:space="preserve">b</w:t>
      </w:r>
      <w:r>
        <w:t xml:space="preserve">, Conditional</w:t>
      </w:r>
      <w:r>
        <w:t xml:space="preserve"> </w:t>
      </w:r>
      <w:r>
        <w:rPr>
          <w:i/>
          <w:iCs/>
        </w:rPr>
        <w:t xml:space="preserve">R</w:t>
      </w:r>
      <w:r>
        <w:t xml:space="preserve">², conditional AUC and marginal AUC. Marginal AUC is flat across structures, confirming that the random terms absorb observational heterogeneity without redistributing the fixed-effect signal.</w:t>
      </w:r>
      <w:r>
        <w:t xml:space="preserve"> </w:t>
      </w:r>
      <w:r>
        <w:rPr>
          <w:b/>
          <w:bCs/>
        </w:rPr>
        <w:t xml:space="preserve">c</w:t>
      </w:r>
      <w:r>
        <w:t xml:space="preserve">, Random-effect standard deviations on the latent scale; no component collapses in any structure.</w:t>
      </w:r>
    </w:p>
    <w:p>
      <w:pPr>
        <w:pStyle w:val="BodyText"/>
      </w:pPr>
      <w:r>
        <w:drawing>
          <wp:inline>
            <wp:extent cx="5334000" cy="3524250"/>
            <wp:effectExtent b="0" l="0" r="0" t="0"/>
            <wp:docPr descr="" title="" id="31" name="Picture"/>
            <a:graphic>
              <a:graphicData uri="http://schemas.openxmlformats.org/drawingml/2006/picture">
                <pic:pic>
                  <pic:nvPicPr>
                    <pic:cNvPr descr="/Users/dingchenchen/Documents/New%20records/bird-new-distribution-records/tasks/bird_hazard_model_effort_upgrade_v2/analysis_v2/figures/Fig7_window_baseline_sensitivity_v2.png" id="32" name="Picture"/>
                    <pic:cNvPicPr>
                      <a:picLocks noChangeArrowheads="1" noChangeAspect="1"/>
                    </pic:cNvPicPr>
                  </pic:nvPicPr>
                  <pic:blipFill>
                    <a:blip r:embed="rId30"/>
                    <a:stretch>
                      <a:fillRect/>
                    </a:stretch>
                  </pic:blipFill>
                  <pic:spPr bwMode="auto">
                    <a:xfrm>
                      <a:off x="0" y="0"/>
                      <a:ext cx="5334000" cy="3524250"/>
                    </a:xfrm>
                    <a:prstGeom prst="rect">
                      <a:avLst/>
                    </a:prstGeom>
                    <a:noFill/>
                    <a:ln w="9525">
                      <a:noFill/>
                      <a:headEnd/>
                      <a:tailEnd/>
                    </a:ln>
                  </pic:spPr>
                </pic:pic>
              </a:graphicData>
            </a:graphic>
          </wp:inline>
        </w:drawing>
      </w:r>
    </w:p>
    <w:p>
      <w:pPr>
        <w:pStyle w:val="BodyText"/>
      </w:pPr>
      <w:r>
        <w:rPr>
          <w:b/>
          <w:bCs/>
        </w:rPr>
        <w:t xml:space="preserve">Fig. S2 | Accumulation window and climate baseline.</w:t>
      </w:r>
      <w:r>
        <w:t xml:space="preserve"> </w:t>
      </w:r>
      <w:r>
        <w:t xml:space="preserve">Windows of 5, 10, 15 and 20 years against three series: the main WorldClim 10-arc-minute data with a 1980–2000 baseline, the same baseline computed from CRU TS at 0.5° as a control for data source and resolution, and CRU TS with a 1970–2000 baseline.</w:t>
      </w:r>
      <w:r>
        <w:t xml:space="preserve"> </w:t>
      </w:r>
      <w:r>
        <w:rPr>
          <w:b/>
          <w:bCs/>
        </w:rPr>
        <w:t xml:space="preserve">a</w:t>
      </w:r>
      <w:r>
        <w:t xml:space="preserve">, Hazard ratio for accumulated warming.</w:t>
      </w:r>
      <w:r>
        <w:t xml:space="preserve"> </w:t>
      </w:r>
      <w:r>
        <w:rPr>
          <w:b/>
          <w:bCs/>
        </w:rPr>
        <w:t xml:space="preserve">b</w:t>
      </w:r>
      <w:r>
        <w:t xml:space="preserve">, Hazard ratio for survey effort.</w:t>
      </w:r>
      <w:r>
        <w:t xml:space="preserve"> </w:t>
      </w:r>
      <w:r>
        <w:rPr>
          <w:b/>
          <w:bCs/>
        </w:rPr>
        <w:t xml:space="preserve">c</w:t>
      </w:r>
      <w:r>
        <w:t xml:space="preserve">, Hazard ratio for the interaction.</w:t>
      </w:r>
      <w:r>
        <w:t xml:space="preserve"> </w:t>
      </w:r>
      <w:r>
        <w:rPr>
          <w:b/>
          <w:bCs/>
        </w:rPr>
        <w:t xml:space="preserve">d</w:t>
      </w:r>
      <w:r>
        <w:t xml:space="preserve">, ΔAIC within each series; circles mark the optimum. Ribbons are 95% confidence intervals.</w:t>
      </w:r>
    </w:p>
    <w:p>
      <w:pPr>
        <w:pStyle w:val="BodyText"/>
      </w:pPr>
      <w:r>
        <w:drawing>
          <wp:inline>
            <wp:extent cx="5334000" cy="3556000"/>
            <wp:effectExtent b="0" l="0" r="0" t="0"/>
            <wp:docPr descr="" title="" id="34" name="Picture"/>
            <a:graphic>
              <a:graphicData uri="http://schemas.openxmlformats.org/drawingml/2006/picture">
                <pic:pic>
                  <pic:nvPicPr>
                    <pic:cNvPr descr="/Users/dingchenchen/Documents/New%20records/bird-new-distribution-records/tasks/bird_hazard_model_effort_upgrade_v2/analysis_v2/figures/Fig8_migratory_strategy_v2.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S3 | Migratory strategy shifts the baseline hazard but does not moderate either driver.</w:t>
      </w:r>
      <w:r>
        <w:t xml:space="preserve"> </w:t>
      </w:r>
      <w:r>
        <w:rPr>
          <w:b/>
          <w:bCs/>
        </w:rPr>
        <w:t xml:space="preserve">a</w:t>
      </w:r>
      <w:r>
        <w:t xml:space="preserve">, Risk-set rows, events and species in each group; the three groups with a known strategy carry 549 events in total.</w:t>
      </w:r>
      <w:r>
        <w:t xml:space="preserve"> </w:t>
      </w:r>
      <w:r>
        <w:rPr>
          <w:b/>
          <w:bCs/>
        </w:rPr>
        <w:t xml:space="preserve">b</w:t>
      </w:r>
      <w:r>
        <w:t xml:space="preserve">, Group-specific hazard ratios from models fitted separately within each group, with 95% confidence intervals.</w:t>
      </w:r>
      <w:r>
        <w:t xml:space="preserve"> </w:t>
      </w:r>
      <w:r>
        <w:rPr>
          <w:b/>
          <w:bCs/>
        </w:rPr>
        <w:t xml:space="preserve">c</w:t>
      </w:r>
      <w:r>
        <w:t xml:space="preserve">, ΔAIC across the moderation ladder; red text is the likelihood-ratio</w:t>
      </w:r>
      <w:r>
        <w:t xml:space="preserve"> </w:t>
      </w:r>
      <w:r>
        <w:rPr>
          <w:i/>
          <w:iCs/>
        </w:rPr>
        <w:t xml:space="preserve">P</w:t>
      </w:r>
      <w:r>
        <w:t xml:space="preserve"> </w:t>
      </w:r>
      <w:r>
        <w:t xml:space="preserve">value against the model with a migratory main effect only.</w:t>
      </w:r>
      <w:r>
        <w:t xml:space="preserve"> </w:t>
      </w:r>
      <w:r>
        <w:rPr>
          <w:b/>
          <w:bCs/>
        </w:rPr>
        <w:t xml:space="preserve">d</w:t>
      </w:r>
      <w:r>
        <w:t xml:space="preserve">, Group-specific warming × effort interaction derived from the three-way model; filled points are significant within group, open points are not. The formal test for heterogeneity among groups is not significant.</w:t>
      </w:r>
    </w:p>
    <w:p>
      <w:pPr>
        <w:pStyle w:val="BodyText"/>
      </w:pPr>
      <w:r>
        <w:drawing>
          <wp:inline>
            <wp:extent cx="5334000" cy="3613354"/>
            <wp:effectExtent b="0" l="0" r="0" t="0"/>
            <wp:docPr descr="" title="" id="37" name="Picture"/>
            <a:graphic>
              <a:graphicData uri="http://schemas.openxmlformats.org/drawingml/2006/picture">
                <pic:pic>
                  <pic:nvPicPr>
                    <pic:cNvPr descr="/Users/dingchenchen/Documents/New%20records/bird-new-distribution-records/tasks/bird_hazard_model_effort_upgrade_v2/analysis_v2/figures/Fig9_species_level_v2.png" id="38" name="Picture"/>
                    <pic:cNvPicPr>
                      <a:picLocks noChangeArrowheads="1" noChangeAspect="1"/>
                    </pic:cNvPicPr>
                  </pic:nvPicPr>
                  <pic:blipFill>
                    <a:blip r:embed="rId36"/>
                    <a:stretch>
                      <a:fillRect/>
                    </a:stretch>
                  </pic:blipFill>
                  <pic:spPr bwMode="auto">
                    <a:xfrm>
                      <a:off x="0" y="0"/>
                      <a:ext cx="5334000" cy="3613354"/>
                    </a:xfrm>
                    <a:prstGeom prst="rect">
                      <a:avLst/>
                    </a:prstGeom>
                    <a:noFill/>
                    <a:ln w="9525">
                      <a:noFill/>
                      <a:headEnd/>
                      <a:tailEnd/>
                    </a:ln>
                  </pic:spPr>
                </pic:pic>
              </a:graphicData>
            </a:graphic>
          </wp:inline>
        </w:drawing>
      </w:r>
    </w:p>
    <w:p>
      <w:pPr>
        <w:pStyle w:val="BodyText"/>
      </w:pPr>
      <w:r>
        <w:rPr>
          <w:b/>
          <w:bCs/>
        </w:rPr>
        <w:t xml:space="preserve">Fig. S4 | Species-level correlates of new provincial records.</w:t>
      </w:r>
      <w:r>
        <w:t xml:space="preserve"> </w:t>
      </w:r>
      <w:r>
        <w:rPr>
          <w:b/>
          <w:bCs/>
        </w:rPr>
        <w:t xml:space="preserve">a</w:t>
      </w:r>
      <w:r>
        <w:t xml:space="preserve">, Continuous traits, as odds ratios per standard deviation with 95% confidence intervals, under three treatments of phylogenetic non-independence. Filled points are significant.</w:t>
      </w:r>
      <w:r>
        <w:t xml:space="preserve"> </w:t>
      </w:r>
      <w:r>
        <w:rPr>
          <w:b/>
          <w:bCs/>
        </w:rPr>
        <w:t xml:space="preserve">b</w:t>
      </w:r>
      <w:r>
        <w:t xml:space="preserve">, Categorical contrasts against their reference levels.</w:t>
      </w:r>
      <w:r>
        <w:t xml:space="preserve"> </w:t>
      </w:r>
      <w:r>
        <w:rPr>
          <w:b/>
          <w:bCs/>
        </w:rPr>
        <w:t xml:space="preserve">c</w:t>
      </w:r>
      <w:r>
        <w:t xml:space="preserve">, Range measured as an area, from two independent sources, against range measured as a count of provinces occupied.</w:t>
      </w:r>
      <w:r>
        <w:t xml:space="preserve"> </w:t>
      </w:r>
      <w:r>
        <w:rPr>
          <w:b/>
          <w:bCs/>
        </w:rPr>
        <w:t xml:space="preserve">d</w:t>
      </w:r>
      <w:r>
        <w:t xml:space="preserve">, For every term, the number of phylogenetic treatments in which it is significant, with the range of odds ratios across treatments.</w:t>
      </w:r>
    </w:p>
    <w:p>
      <w:pPr>
        <w:pStyle w:val="BodyText"/>
      </w:pPr>
      <w:r>
        <w:drawing>
          <wp:inline>
            <wp:extent cx="5334000" cy="3556000"/>
            <wp:effectExtent b="0" l="0" r="0" t="0"/>
            <wp:docPr descr="" title="" id="40" name="Picture"/>
            <a:graphic>
              <a:graphicData uri="http://schemas.openxmlformats.org/drawingml/2006/picture">
                <pic:pic>
                  <pic:nvPicPr>
                    <pic:cNvPr descr="/Users/dingchenchen/Documents/New%20records/bird-new-distribution-records/tasks/bird_hazard_model_effort_upgrade_v2/analysis_v2/figures/Fig10_province_level_v2.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 | Province-level counts of new records.</w:t>
      </w:r>
      <w:r>
        <w:t xml:space="preserve"> </w:t>
      </w:r>
      <w:r>
        <w:rPr>
          <w:b/>
          <w:bCs/>
        </w:rPr>
        <w:t xml:space="preserve">a</w:t>
      </w:r>
      <w:r>
        <w:t xml:space="preserve">, Model comparison: Poisson against negative binomial, with and without recent effort as an offset.</w:t>
      </w:r>
      <w:r>
        <w:t xml:space="preserve"> </w:t>
      </w:r>
      <w:r>
        <w:rPr>
          <w:b/>
          <w:bCs/>
        </w:rPr>
        <w:t xml:space="preserve">b</w:t>
      </w:r>
      <w:r>
        <w:t xml:space="preserve">, Incidence rate ratios per standard deviation from the two negative-binomial models.</w:t>
      </w:r>
      <w:r>
        <w:t xml:space="preserve"> </w:t>
      </w:r>
      <w:r>
        <w:rPr>
          <w:b/>
          <w:bCs/>
        </w:rPr>
        <w:t xml:space="preserve">c</w:t>
      </w:r>
      <w:r>
        <w:t xml:space="preserve">, Hierarchical partitioning of explained deviance into independent and joint contributions.</w:t>
      </w:r>
      <w:r>
        <w:t xml:space="preserve"> </w:t>
      </w:r>
      <w:r>
        <w:rPr>
          <w:b/>
          <w:bCs/>
        </w:rPr>
        <w:t xml:space="preserve">d</w:t>
      </w:r>
      <w:r>
        <w:t xml:space="preserve">, Partial correlation of each predictor with the record count, holding the others constant.</w:t>
      </w:r>
    </w:p>
    <w:p>
      <w:pPr>
        <w:pStyle w:val="BodyText"/>
      </w:pPr>
      <w:r>
        <w:drawing>
          <wp:inline>
            <wp:extent cx="5334000" cy="3745148"/>
            <wp:effectExtent b="0" l="0" r="0" t="0"/>
            <wp:docPr descr="" title="" id="43" name="Picture"/>
            <a:graphic>
              <a:graphicData uri="http://schemas.openxmlformats.org/drawingml/2006/picture">
                <pic:pic>
                  <pic:nvPicPr>
                    <pic:cNvPr descr="/Users/dingchenchen/Documents/New%20records/bird-new-distribution-records/tasks/bird_hazard_model_effort_upgrade_v2/analysis_v2/figures_future/FigM1_future_mechanistic_v2.png" id="44" name="Picture"/>
                    <pic:cNvPicPr>
                      <a:picLocks noChangeArrowheads="1" noChangeAspect="1"/>
                    </pic:cNvPicPr>
                  </pic:nvPicPr>
                  <pic:blipFill>
                    <a:blip r:embed="rId42"/>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S6 | Mechanistic projection of the latent generation hazard, restricted to the fitted covariate support.</w:t>
      </w:r>
      <w:r>
        <w:t xml:space="preserve"> </w:t>
      </w:r>
      <w:r>
        <w:t xml:space="preserve">Provincial hazard relative to 2024 under two SSP scenarios at three horizons, aggregating only species-province cells whose accumulated warming and survey effort fall inside the 1st–99th percentile of the fitted data. The percentage on each panel is the share of cells that qualify.</w:t>
      </w:r>
    </w:p>
    <w:p>
      <w:pPr>
        <w:pStyle w:val="BodyText"/>
      </w:pPr>
      <w:r>
        <w:drawing>
          <wp:inline>
            <wp:extent cx="5334000" cy="3745148"/>
            <wp:effectExtent b="0" l="0" r="0" t="0"/>
            <wp:docPr descr="" title="" id="46" name="Picture"/>
            <a:graphic>
              <a:graphicData uri="http://schemas.openxmlformats.org/drawingml/2006/picture">
                <pic:pic>
                  <pic:nvPicPr>
                    <pic:cNvPr descr="/Users/dingchenchen/Documents/New%20records/bird-new-distribution-records/tasks/bird_hazard_model_effort_upgrade_v2/analysis_v2/figures_future/FigM2_future_ml_v2.png" id="47" name="Picture"/>
                    <pic:cNvPicPr>
                      <a:picLocks noChangeArrowheads="1" noChangeAspect="1"/>
                    </pic:cNvPicPr>
                  </pic:nvPicPr>
                  <pic:blipFill>
                    <a:blip r:embed="rId45"/>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S7 | Machine-learning projection under identical inputs and the same support mask.</w:t>
      </w:r>
    </w:p>
    <w:p>
      <w:pPr>
        <w:pStyle w:val="BodyText"/>
      </w:pPr>
      <w:r>
        <w:drawing>
          <wp:inline>
            <wp:extent cx="5334000" cy="1842654"/>
            <wp:effectExtent b="0" l="0" r="0" t="0"/>
            <wp:docPr descr="" title="" id="49" name="Picture"/>
            <a:graphic>
              <a:graphicData uri="http://schemas.openxmlformats.org/drawingml/2006/picture">
                <pic:pic>
                  <pic:nvPicPr>
                    <pic:cNvPr descr="/Users/dingchenchen/Documents/New%20records/bird-new-distribution-records/tasks/bird_hazard_model_effort_upgrade_v2/analysis_v2/figures_future/FigM3_shap_interpretability_v2.png" id="50" name="Picture"/>
                    <pic:cNvPicPr>
                      <a:picLocks noChangeArrowheads="1" noChangeAspect="1"/>
                    </pic:cNvPicPr>
                  </pic:nvPicPr>
                  <pic:blipFill>
                    <a:blip r:embed="rId48"/>
                    <a:stretch>
                      <a:fillRect/>
                    </a:stretch>
                  </pic:blipFill>
                  <pic:spPr bwMode="auto">
                    <a:xfrm>
                      <a:off x="0" y="0"/>
                      <a:ext cx="5334000" cy="1842654"/>
                    </a:xfrm>
                    <a:prstGeom prst="rect">
                      <a:avLst/>
                    </a:prstGeom>
                    <a:noFill/>
                    <a:ln w="9525">
                      <a:noFill/>
                      <a:headEnd/>
                      <a:tailEnd/>
                    </a:ln>
                  </pic:spPr>
                </pic:pic>
              </a:graphicData>
            </a:graphic>
          </wp:inline>
        </w:drawing>
      </w:r>
    </w:p>
    <w:p>
      <w:pPr>
        <w:pStyle w:val="BodyText"/>
      </w:pPr>
      <w:r>
        <w:rPr>
          <w:b/>
          <w:bCs/>
        </w:rPr>
        <w:t xml:space="preserve">Fig. S8 | TreeSHAP interpretation of the gradient-boosted model.</w:t>
      </w:r>
      <w:r>
        <w:t xml:space="preserve"> </w:t>
      </w:r>
      <w:r>
        <w:rPr>
          <w:b/>
          <w:bCs/>
        </w:rPr>
        <w:t xml:space="preserve">a</w:t>
      </w:r>
      <w:r>
        <w:t xml:space="preserve">, Mean absolute SHAP contribution per feature.</w:t>
      </w:r>
      <w:r>
        <w:t xml:space="preserve"> </w:t>
      </w:r>
      <w:r>
        <w:rPr>
          <w:b/>
          <w:bCs/>
        </w:rPr>
        <w:t xml:space="preserve">b</w:t>
      </w:r>
      <w:r>
        <w:t xml:space="preserve">, SHAP dependence, monotone increasing for both accumulated warming and survey effort.</w:t>
      </w:r>
    </w:p>
    <w:p>
      <w:pPr>
        <w:pStyle w:val="BodyText"/>
      </w:pPr>
      <w:r>
        <w:drawing>
          <wp:inline>
            <wp:extent cx="5334000" cy="4000500"/>
            <wp:effectExtent b="0" l="0" r="0" t="0"/>
            <wp:docPr descr="" title="" id="52" name="Picture"/>
            <a:graphic>
              <a:graphicData uri="http://schemas.openxmlformats.org/drawingml/2006/picture">
                <pic:pic>
                  <pic:nvPicPr>
                    <pic:cNvPr descr="/Users/dingchenchen/Documents/New%20records/bird-new-distribution-records/tasks/bird_hazard_model_effort_upgrade_v2/analysis_v2/figures/FigS1_dharma_v2.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 S9 | Simulation-based residual diagnostics for the main model.</w:t>
      </w:r>
      <w:r>
        <w:t xml:space="preserve"> </w:t>
      </w:r>
      <w:r>
        <w:rPr>
          <w:b/>
          <w:bCs/>
        </w:rPr>
        <w:t xml:space="preserve">a</w:t>
      </w:r>
      <w:r>
        <w:t xml:space="preserve">, Quantile–quantile plot of DHARMa scaled residuals against the uniform distribution, from 500 simulations; every 40th point is drawn.</w:t>
      </w:r>
      <w:r>
        <w:t xml:space="preserve"> </w:t>
      </w:r>
      <w:r>
        <w:rPr>
          <w:b/>
          <w:bCs/>
        </w:rPr>
        <w:t xml:space="preserve">b</w:t>
      </w:r>
      <w:r>
        <w:t xml:space="preserve">, Kolmogorov–Smirnov</w:t>
      </w:r>
      <w:r>
        <w:t xml:space="preserve"> </w:t>
      </w:r>
      <w:r>
        <w:rPr>
          <w:i/>
          <w:iCs/>
        </w:rPr>
        <w:t xml:space="preserve">P</w:t>
      </w:r>
      <w:r>
        <w:t xml:space="preserve"> </w:t>
      </w:r>
      <w:r>
        <w:t xml:space="preserve">values for the residuals of each year and each province, against the nominal 5% level.</w:t>
      </w:r>
      <w:r>
        <w:t xml:space="preserve"> </w:t>
      </w:r>
      <w:r>
        <w:rPr>
          <w:b/>
          <w:bCs/>
        </w:rPr>
        <w:t xml:space="preserve">c</w:t>
      </w:r>
      <w:r>
        <w:t xml:space="preserve">, Moran’s</w:t>
      </w:r>
      <w:r>
        <w:t xml:space="preserve"> </w:t>
      </w:r>
      <w:r>
        <w:rPr>
          <w:i/>
          <w:iCs/>
        </w:rPr>
        <w:t xml:space="preserve">I</w:t>
      </w:r>
      <w:r>
        <w:t xml:space="preserve"> </w:t>
      </w:r>
      <w:r>
        <w:t xml:space="preserve">of province-mean residuals against a null distribution from 999 permutations of province labels, with inverse-distance weights.</w:t>
      </w:r>
      <w:r>
        <w:t xml:space="preserve"> </w:t>
      </w:r>
      <w:r>
        <w:rPr>
          <w:b/>
          <w:bCs/>
        </w:rPr>
        <w:t xml:space="preserve">d</w:t>
      </w:r>
      <w:r>
        <w:t xml:space="preserve">, Rate of change of each focal coefficient with time on the log-hazard scale, testing the proportional-hazards assumption.</w:t>
      </w:r>
    </w:p>
    <w:p>
      <w:pPr>
        <w:pStyle w:val="BodyText"/>
      </w:pPr>
      <w:r>
        <w:drawing>
          <wp:inline>
            <wp:extent cx="5334000" cy="3745148"/>
            <wp:effectExtent b="0" l="0" r="0" t="0"/>
            <wp:docPr descr="" title="" id="55" name="Picture"/>
            <a:graphic>
              <a:graphicData uri="http://schemas.openxmlformats.org/drawingml/2006/picture">
                <pic:pic>
                  <pic:nvPicPr>
                    <pic:cNvPr descr="/Users/dingchenchen/Documents/New%20records/bird-new-distribution-records/tasks/bird_hazard_model_effort_upgrade_v2/analysis_v2/figures_future/FigS3_future_unmasked_v2.png" id="56" name="Picture"/>
                    <pic:cNvPicPr>
                      <a:picLocks noChangeArrowheads="1" noChangeAspect="1"/>
                    </pic:cNvPicPr>
                  </pic:nvPicPr>
                  <pic:blipFill>
                    <a:blip r:embed="rId54"/>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S10 | The same mechanistic projection without the support mask</w:t>
      </w:r>
      <w:r>
        <w:t xml:space="preserve">, shown to indicate the magnitude of the extrapolation.</w:t>
      </w:r>
    </w:p>
    <w:p>
      <w:pPr>
        <w:pStyle w:val="BodyText"/>
      </w:pPr>
      <w:r>
        <w:drawing>
          <wp:inline>
            <wp:extent cx="5334000" cy="3269225"/>
            <wp:effectExtent b="0" l="0" r="0" t="0"/>
            <wp:docPr descr="" title="" id="58" name="Picture"/>
            <a:graphic>
              <a:graphicData uri="http://schemas.openxmlformats.org/drawingml/2006/picture">
                <pic:pic>
                  <pic:nvPicPr>
                    <pic:cNvPr descr="/Users/dingchenchen/Documents/New%20records/bird-new-distribution-records/tasks/bird_hazard_model_effort_upgrade_v2/analysis_v2/figures/FigS5_resampling_v2.png" id="59" name="Picture"/>
                    <pic:cNvPicPr>
                      <a:picLocks noChangeArrowheads="1" noChangeAspect="1"/>
                    </pic:cNvPicPr>
                  </pic:nvPicPr>
                  <pic:blipFill>
                    <a:blip r:embed="rId57"/>
                    <a:stretch>
                      <a:fillRect/>
                    </a:stretch>
                  </pic:blipFill>
                  <pic:spPr bwMode="auto">
                    <a:xfrm>
                      <a:off x="0" y="0"/>
                      <a:ext cx="5334000" cy="3269225"/>
                    </a:xfrm>
                    <a:prstGeom prst="rect">
                      <a:avLst/>
                    </a:prstGeom>
                    <a:noFill/>
                    <a:ln w="9525">
                      <a:noFill/>
                      <a:headEnd/>
                      <a:tailEnd/>
                    </a:ln>
                  </pic:spPr>
                </pic:pic>
              </a:graphicData>
            </a:graphic>
          </wp:inline>
        </w:drawing>
      </w:r>
    </w:p>
    <w:p>
      <w:pPr>
        <w:pStyle w:val="BodyText"/>
      </w:pPr>
      <w:r>
        <w:rPr>
          <w:b/>
          <w:bCs/>
        </w:rPr>
        <w:t xml:space="preserve">Fig. S11 | Design-preserving null models, resampling and influence.</w:t>
      </w:r>
      <w:r>
        <w:t xml:space="preserve"> </w:t>
      </w:r>
      <w:r>
        <w:rPr>
          <w:b/>
          <w:bCs/>
        </w:rPr>
        <w:t xml:space="preserve">a</w:t>
      </w:r>
      <w:r>
        <w:t xml:space="preserve">, Null distributions of the four fixed effects under three permutation schemes, each destroying exactly one association while holding the risk set, the per-province-year event counts, the effort and completeness marginals and the random-effect hierarchy fixed (199 permutations each); red lines mark the observed values. The null for accumulated warming is centred near 1.16 rather than unity because permuting within province-years preserves the covariance between provincial-annual climate and provincial-annual event counts.</w:t>
      </w:r>
      <w:r>
        <w:t xml:space="preserve"> </w:t>
      </w:r>
      <w:r>
        <w:rPr>
          <w:b/>
          <w:bCs/>
        </w:rPr>
        <w:t xml:space="preserve">b</w:t>
      </w:r>
      <w:r>
        <w:t xml:space="preserve">, Wald and cluster bootstrap confidence intervals, resampling species (392 clusters) and provinces (31 clusters), 300 times each.</w:t>
      </w:r>
      <w:r>
        <w:t xml:space="preserve"> </w:t>
      </w:r>
      <w:r>
        <w:rPr>
          <w:b/>
          <w:bCs/>
        </w:rPr>
        <w:t xml:space="preserve">c</w:t>
      </w:r>
      <w:r>
        <w:t xml:space="preserve">, Actual coverage of the nominal 95% interval under a parametric bootstrap of 150 simulations from the fitted model, with the bias of each coefficient annotated.</w:t>
      </w:r>
      <w:r>
        <w:t xml:space="preserve"> </w:t>
      </w:r>
      <w:r>
        <w:rPr>
          <w:b/>
          <w:bCs/>
        </w:rPr>
        <w:t xml:space="preserve">d</w:t>
      </w:r>
      <w:r>
        <w:t xml:space="preserve">, Relative change in each hazard ratio when each province, and each of ten species deciles, is held out. Draws converging to degenerate optima (|log hazard ratio| &gt; 2) are excluded throughout; their number is 3 of 199 in the third null, 3 of 300 in the species bootstrap, and none elsewhere.</w:t>
      </w:r>
    </w:p>
    <w:p>
      <w:pPr>
        <w:pStyle w:val="BodyText"/>
      </w:pPr>
      <w:r>
        <w:drawing>
          <wp:inline>
            <wp:extent cx="5334000" cy="3660588"/>
            <wp:effectExtent b="0" l="0" r="0" t="0"/>
            <wp:docPr descr="" title="" id="61" name="Picture"/>
            <a:graphic>
              <a:graphicData uri="http://schemas.openxmlformats.org/drawingml/2006/picture">
                <pic:pic>
                  <pic:nvPicPr>
                    <pic:cNvPr descr="/Users/dingchenchen/Documents/New%20records/bird-new-distribution-records/tasks/bird_hazard_model_effort_upgrade_v2/analysis_v2/figures_pa/en/FigP1_pa_enrichment.png" id="62" name="Picture"/>
                    <pic:cNvPicPr>
                      <a:picLocks noChangeArrowheads="1" noChangeAspect="1"/>
                    </pic:cNvPicPr>
                  </pic:nvPicPr>
                  <pic:blipFill>
                    <a:blip r:embed="rId60"/>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S12 | Enrichment of new records inside mapped nature reserves, decomposed against the observation process.</w:t>
      </w:r>
      <w:r>
        <w:t xml:space="preserve"> </w:t>
      </w:r>
      <w:r>
        <w:rPr>
          <w:b/>
          <w:bCs/>
        </w:rPr>
        <w:t xml:space="preserve">a</w:t>
      </w:r>
      <w:r>
        <w:t xml:space="preserve">, Share of records, checklist-weighted birding effort, birding locations and land area inside the 1,028 mapped reserves.</w:t>
      </w:r>
      <w:r>
        <w:t xml:space="preserve"> </w:t>
      </w:r>
      <w:r>
        <w:rPr>
          <w:b/>
          <w:bCs/>
        </w:rPr>
        <w:t xml:space="preserve">b</w:t>
      </w:r>
      <w:r>
        <w:t xml:space="preserve">, Conditional logistic estimand ladder, each event matched to 200 same-province same-year checklist-weighted control locations.</w:t>
      </w:r>
      <w:r>
        <w:t xml:space="preserve"> </w:t>
      </w:r>
      <w:r>
        <w:rPr>
          <w:b/>
          <w:bCs/>
        </w:rPr>
        <w:t xml:space="preserve">c</w:t>
      </w:r>
      <w:r>
        <w:t xml:space="preserve">, Robustness across host-reserve exclusions, period splits and discovery-method subsets.</w:t>
      </w:r>
      <w:r>
        <w:t xml:space="preserve"> </w:t>
      </w:r>
      <w:r>
        <w:rPr>
          <w:b/>
          <w:bCs/>
        </w:rPr>
        <w:t xml:space="preserve">d</w:t>
      </w:r>
      <w:r>
        <w:t xml:space="preserve">, Concentration of inside-reserve events among host reserves.</w:t>
      </w:r>
    </w:p>
    <w:p>
      <w:pPr>
        <w:pStyle w:val="BodyText"/>
      </w:pPr>
      <w:r>
        <w:drawing>
          <wp:inline>
            <wp:extent cx="5334000" cy="3660588"/>
            <wp:effectExtent b="0" l="0" r="0" t="0"/>
            <wp:docPr descr="" title="" id="64" name="Picture"/>
            <a:graphic>
              <a:graphicData uri="http://schemas.openxmlformats.org/drawingml/2006/picture">
                <pic:pic>
                  <pic:nvPicPr>
                    <pic:cNvPr descr="/Users/dingchenchen/Documents/New%20records/bird-new-distribution-records/tasks/bird_hazard_model_effort_upgrade_v2/analysis_v2/figures_pa/en/FigP2_pa_persistence.png" id="65" name="Picture"/>
                    <pic:cNvPicPr>
                      <a:picLocks noChangeArrowheads="1" noChangeAspect="1"/>
                    </pic:cNvPicPr>
                  </pic:nvPicPr>
                  <pic:blipFill>
                    <a:blip r:embed="rId63"/>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S13 | Reserve status does not raise the probability that a first record becomes a persistent presence.</w:t>
      </w:r>
      <w:r>
        <w:t xml:space="preserve"> </w:t>
      </w:r>
      <w:r>
        <w:t xml:space="preserve">Re-detection of the same species in the same province in the GBIF/eBird layer, raw and adjusted for subsequent survey effort, with pre-declared equivalence bounds.</w:t>
      </w:r>
    </w:p>
    <w:p>
      <w:pPr>
        <w:pStyle w:val="BodyText"/>
      </w:pPr>
      <w:r>
        <w:drawing>
          <wp:inline>
            <wp:extent cx="5334000" cy="3974352"/>
            <wp:effectExtent b="0" l="0" r="0" t="0"/>
            <wp:docPr descr="" title="" id="67" name="Picture"/>
            <a:graphic>
              <a:graphicData uri="http://schemas.openxmlformats.org/drawingml/2006/picture">
                <pic:pic>
                  <pic:nvPicPr>
                    <pic:cNvPr descr="/Users/dingchenchen/Documents/New%20records/bird-new-distribution-records/tasks/bird_hazard_model_effort_upgrade_v2/analysis_v2/figures_pa/en/FigP3_pa_mismatch_monitoring.png" id="68" name="Picture"/>
                    <pic:cNvPicPr>
                      <a:picLocks noChangeArrowheads="1" noChangeAspect="1"/>
                    </pic:cNvPicPr>
                  </pic:nvPicPr>
                  <pic:blipFill>
                    <a:blip r:embed="rId66"/>
                    <a:stretch>
                      <a:fillRect/>
                    </a:stretch>
                  </pic:blipFill>
                  <pic:spPr bwMode="auto">
                    <a:xfrm>
                      <a:off x="0" y="0"/>
                      <a:ext cx="5334000" cy="3974352"/>
                    </a:xfrm>
                    <a:prstGeom prst="rect">
                      <a:avLst/>
                    </a:prstGeom>
                    <a:noFill/>
                    <a:ln w="9525">
                      <a:noFill/>
                      <a:headEnd/>
                      <a:tailEnd/>
                    </a:ln>
                  </pic:spPr>
                </pic:pic>
              </a:graphicData>
            </a:graphic>
          </wp:inline>
        </w:drawing>
      </w:r>
    </w:p>
    <w:p>
      <w:pPr>
        <w:pStyle w:val="BodyText"/>
      </w:pPr>
      <w:r>
        <w:rPr>
          <w:b/>
          <w:bCs/>
        </w:rPr>
        <w:t xml:space="preserve">Fig. S14 | The mapped reserve network shows no measurable mismatch with observed cell-level warming.</w:t>
      </w:r>
      <w:r>
        <w:t xml:space="preserve"> </w:t>
      </w:r>
      <w:r>
        <w:rPr>
          <w:b/>
          <w:bCs/>
        </w:rPr>
        <w:t xml:space="preserve">a</w:t>
      </w:r>
      <w:r>
        <w:t xml:space="preserve">, Area-weighted reserve coverage across warming quintiles under provincial-broadcast versus recomputed cell-level warming.</w:t>
      </w:r>
      <w:r>
        <w:t xml:space="preserve"> </w:t>
      </w:r>
      <w:r>
        <w:rPr>
          <w:b/>
          <w:bCs/>
        </w:rPr>
        <w:t xml:space="preserve">b</w:t>
      </w:r>
      <w:r>
        <w:t xml:space="preserve">, Stratified permutation within province × elevation bands.</w:t>
      </w:r>
      <w:r>
        <w:t xml:space="preserve"> </w:t>
      </w:r>
      <w:r>
        <w:rPr>
          <w:b/>
          <w:bCs/>
        </w:rPr>
        <w:t xml:space="preserve">c</w:t>
      </w:r>
      <w:r>
        <w:t xml:space="preserve">–</w:t>
      </w:r>
      <w:r>
        <w:rPr>
          <w:b/>
          <w:bCs/>
        </w:rPr>
        <w:t xml:space="preserve">d</w:t>
      </w:r>
      <w:r>
        <w:t xml:space="preserve">, Monitoring-grafting priority classes.</w:t>
      </w:r>
    </w:p>
    <w:p>
      <w:pPr>
        <w:pStyle w:val="BodyText"/>
      </w:pPr>
      <w:r>
        <w:drawing>
          <wp:inline>
            <wp:extent cx="5334000" cy="3934918"/>
            <wp:effectExtent b="0" l="0" r="0" t="0"/>
            <wp:docPr descr="" title="" id="70" name="Picture"/>
            <a:graphic>
              <a:graphicData uri="http://schemas.openxmlformats.org/drawingml/2006/picture">
                <pic:pic>
                  <pic:nvPicPr>
                    <pic:cNvPr descr="/Users/dingchenchen/Documents/New%20records/bird-new-distribution-records/tasks/bird_hazard_model_effort_upgrade_v2/analysis_v2/figures_multiscale/en/FigST1_spatiotemporal_pattern.png" id="71" name="Picture"/>
                    <pic:cNvPicPr>
                      <a:picLocks noChangeArrowheads="1" noChangeAspect="1"/>
                    </pic:cNvPicPr>
                  </pic:nvPicPr>
                  <pic:blipFill>
                    <a:blip r:embed="rId69"/>
                    <a:stretch>
                      <a:fillRect/>
                    </a:stretch>
                  </pic:blipFill>
                  <pic:spPr bwMode="auto">
                    <a:xfrm>
                      <a:off x="0" y="0"/>
                      <a:ext cx="5334000" cy="3934918"/>
                    </a:xfrm>
                    <a:prstGeom prst="rect">
                      <a:avLst/>
                    </a:prstGeom>
                    <a:noFill/>
                    <a:ln w="9525">
                      <a:noFill/>
                      <a:headEnd/>
                      <a:tailEnd/>
                    </a:ln>
                  </pic:spPr>
                </pic:pic>
              </a:graphicData>
            </a:graphic>
          </wp:inline>
        </w:drawing>
      </w:r>
    </w:p>
    <w:p>
      <w:pPr>
        <w:pStyle w:val="BodyText"/>
      </w:pPr>
      <w:r>
        <w:rPr>
          <w:b/>
          <w:bCs/>
        </w:rPr>
        <w:t xml:space="preserve">Fig. S15 | Spatial and temporal pattern of the released compilation.</w:t>
      </w:r>
      <w:r>
        <w:t xml:space="preserve"> </w:t>
      </w:r>
      <w:r>
        <w:rPr>
          <w:b/>
          <w:bCs/>
        </w:rPr>
        <w:t xml:space="preserve">a</w:t>
      </w:r>
      <w:r>
        <w:t xml:space="preserve">, 1,056 georeferenced records coloured by year.</w:t>
      </w:r>
      <w:r>
        <w:t xml:space="preserve"> </w:t>
      </w:r>
      <w:r>
        <w:rPr>
          <w:b/>
          <w:bCs/>
        </w:rPr>
        <w:t xml:space="preserve">b</w:t>
      </w:r>
      <w:r>
        <w:t xml:space="preserve">, Cumulative records per province.</w:t>
      </w:r>
      <w:r>
        <w:t xml:space="preserve"> </w:t>
      </w:r>
      <w:r>
        <w:rPr>
          <w:b/>
          <w:bCs/>
        </w:rPr>
        <w:t xml:space="preserve">c</w:t>
      </w:r>
      <w:r>
        <w:t xml:space="preserve">, Annual counts by reported year (bars) and, for the modelled subset, by discovery year (line); their offset motivates the dating correction.</w:t>
      </w:r>
      <w:r>
        <w:t xml:space="preserve"> </w:t>
      </w:r>
      <w:r>
        <w:rPr>
          <w:b/>
          <w:bCs/>
        </w:rPr>
        <w:t xml:space="preserve">d</w:t>
      </w:r>
      <w:r>
        <w:t xml:space="preserve">, Latitude and longitude of records against year with loess fits. Data: CBNR, Zenodo record 20809949 (CC-BY-4.0); three records with implausible coordinates excluded.</w:t>
      </w:r>
    </w:p>
    <w:p>
      <w:pPr>
        <w:pStyle w:val="BodyText"/>
      </w:pPr>
      <w:r>
        <w:drawing>
          <wp:inline>
            <wp:extent cx="5334000" cy="4018767"/>
            <wp:effectExtent b="0" l="0" r="0" t="0"/>
            <wp:docPr descr="" title="" id="73" name="Picture"/>
            <a:graphic>
              <a:graphicData uri="http://schemas.openxmlformats.org/drawingml/2006/picture">
                <pic:pic>
                  <pic:nvPicPr>
                    <pic:cNvPr descr="/Users/dingchenchen/Documents/New%20records/bird-new-distribution-records/tasks/bird_hazard_model_effort_upgrade_v2/analysis_v2/figures_multiscale/en/FigMS3_future_scenarios.png" id="74" name="Picture"/>
                    <pic:cNvPicPr>
                      <a:picLocks noChangeArrowheads="1" noChangeAspect="1"/>
                    </pic:cNvPicPr>
                  </pic:nvPicPr>
                  <pic:blipFill>
                    <a:blip r:embed="rId72"/>
                    <a:stretch>
                      <a:fillRect/>
                    </a:stretch>
                  </pic:blipFill>
                  <pic:spPr bwMode="auto">
                    <a:xfrm>
                      <a:off x="0" y="0"/>
                      <a:ext cx="5334000" cy="4018767"/>
                    </a:xfrm>
                    <a:prstGeom prst="rect">
                      <a:avLst/>
                    </a:prstGeom>
                    <a:noFill/>
                    <a:ln w="9525">
                      <a:noFill/>
                      <a:headEnd/>
                      <a:tailEnd/>
                    </a:ln>
                  </pic:spPr>
                </pic:pic>
              </a:graphicData>
            </a:graphic>
          </wp:inline>
        </w:drawing>
      </w:r>
    </w:p>
    <w:p>
      <w:pPr>
        <w:pStyle w:val="BodyText"/>
      </w:pPr>
      <w:r>
        <w:rPr>
          <w:b/>
          <w:bCs/>
        </w:rPr>
        <w:t xml:space="preserve">Fig. S16 | Future scenarios with climate and survey effort as independent axes.</w:t>
      </w:r>
      <w:r>
        <w:t xml:space="preserve"> </w:t>
      </w:r>
      <w:r>
        <w:t xml:space="preserve">Predicted number of first records per province under SSP2-4.5 and SSP5-8.5, with effort frozen at 2024 or growing at 0.6 SD per decade, for</w:t>
      </w:r>
      <w:r>
        <w:t xml:space="preserve"> </w:t>
      </w:r>
      <w:r>
        <w:rPr>
          <w:b/>
          <w:bCs/>
        </w:rPr>
        <w:t xml:space="preserve">a</w:t>
      </w:r>
      <w:r>
        <w:t xml:space="preserve"> </w:t>
      </w:r>
      <w:r>
        <w:t xml:space="preserve">2030 and</w:t>
      </w:r>
      <w:r>
        <w:t xml:space="preserve"> </w:t>
      </w:r>
      <w:r>
        <w:rPr>
          <w:b/>
          <w:bCs/>
        </w:rPr>
        <w:t xml:space="preserve">b</w:t>
      </w:r>
      <w:r>
        <w:t xml:space="preserve"> </w:t>
      </w:r>
      <w:r>
        <w:t xml:space="preserve">2050;</w:t>
      </w:r>
      <w:r>
        <w:t xml:space="preserve"> </w:t>
      </w:r>
      <w:r>
        <w:rPr>
          <w:b/>
          <w:bCs/>
        </w:rPr>
        <w:t xml:space="preserve">c</w:t>
      </w:r>
      <w:r>
        <w:t xml:space="preserve">, county surfaces for 2050 under fixed 2024 allocation shares. Colour is log10 of the expected number; transparency encodes the fraction of species–province cells inside the fitted covariate support; national totals and support fractions are given per panel.</w:t>
      </w:r>
    </w:p>
    <w:p>
      <w:pPr>
        <w:pStyle w:val="BodyText"/>
      </w:pPr>
      <w:r>
        <w:drawing>
          <wp:inline>
            <wp:extent cx="5334000" cy="4606636"/>
            <wp:effectExtent b="0" l="0" r="0" t="0"/>
            <wp:docPr descr="" title="" id="76" name="Picture"/>
            <a:graphic>
              <a:graphicData uri="http://schemas.openxmlformats.org/drawingml/2006/picture">
                <pic:pic>
                  <pic:nvPicPr>
                    <pic:cNvPr descr="/Users/dingchenchen/Documents/New%20records/bird-new-distribution-records/tasks/bird_hazard_model_effort_upgrade_v2/analysis_v2/figures_multiscale/en/FigMS2_multiscale_model_skill.png" id="77" name="Picture"/>
                    <pic:cNvPicPr>
                      <a:picLocks noChangeArrowheads="1" noChangeAspect="1"/>
                    </pic:cNvPicPr>
                  </pic:nvPicPr>
                  <pic:blipFill>
                    <a:blip r:embed="rId75"/>
                    <a:stretch>
                      <a:fillRect/>
                    </a:stretch>
                  </pic:blipFill>
                  <pic:spPr bwMode="auto">
                    <a:xfrm>
                      <a:off x="0" y="0"/>
                      <a:ext cx="5334000" cy="4606636"/>
                    </a:xfrm>
                    <a:prstGeom prst="rect">
                      <a:avLst/>
                    </a:prstGeom>
                    <a:noFill/>
                    <a:ln w="9525">
                      <a:noFill/>
                      <a:headEnd/>
                      <a:tailEnd/>
                    </a:ln>
                  </pic:spPr>
                </pic:pic>
              </a:graphicData>
            </a:graphic>
          </wp:inline>
        </w:drawing>
      </w:r>
    </w:p>
    <w:p>
      <w:pPr>
        <w:pStyle w:val="BodyText"/>
      </w:pPr>
      <w:r>
        <w:rPr>
          <w:b/>
          <w:bCs/>
        </w:rPr>
        <w:t xml:space="preserve">Fig. S17 | Skill of three model families across validation designs.</w:t>
      </w:r>
      <w:r>
        <w:t xml:space="preserve"> </w:t>
      </w:r>
      <w:r>
        <w:rPr>
          <w:b/>
          <w:bCs/>
        </w:rPr>
        <w:t xml:space="preserve">a</w:t>
      </w:r>
      <w:r>
        <w:t xml:space="preserve">, Province-level PR-AUC for the mechanistic model, a random forest and XGBoost under random, leave-species, leave-province and temporal folds (event rate 0.369%; error bars fold SD).</w:t>
      </w:r>
      <w:r>
        <w:t xml:space="preserve"> </w:t>
      </w:r>
      <w:r>
        <w:rPr>
          <w:b/>
          <w:bCs/>
        </w:rPr>
        <w:t xml:space="preserve">b</w:t>
      </w:r>
      <w:r>
        <w:t xml:space="preserve">, Rank skill of the same families in prefecture- and county-level allocation under temporal forward-prediction and leave-one-province splits (0.5 = random).</w:t>
      </w:r>
    </w:p>
    <w:p>
      <w:pPr>
        <w:pStyle w:val="BodyText"/>
      </w:pPr>
      <w:r>
        <w:drawing>
          <wp:inline>
            <wp:extent cx="5334000" cy="5671820"/>
            <wp:effectExtent b="0" l="0" r="0" t="0"/>
            <wp:docPr descr="" title="" id="79" name="Picture"/>
            <a:graphic>
              <a:graphicData uri="http://schemas.openxmlformats.org/drawingml/2006/picture">
                <pic:pic>
                  <pic:nvPicPr>
                    <pic:cNvPr descr="/Users/dingchenchen/Documents/New%20records/bird-new-distribution-records/tasks/bird_hazard_model_effort_upgrade_v2/analysis_v2/figures_multiscale/en/FigMS1_multiscale_model_maps_si.png" id="80" name="Picture"/>
                    <pic:cNvPicPr>
                      <a:picLocks noChangeArrowheads="1" noChangeAspect="1"/>
                    </pic:cNvPicPr>
                  </pic:nvPicPr>
                  <pic:blipFill>
                    <a:blip r:embed="rId78"/>
                    <a:stretch>
                      <a:fillRect/>
                    </a:stretch>
                  </pic:blipFill>
                  <pic:spPr bwMode="auto">
                    <a:xfrm>
                      <a:off x="0" y="0"/>
                      <a:ext cx="5334000" cy="5671820"/>
                    </a:xfrm>
                    <a:prstGeom prst="rect">
                      <a:avLst/>
                    </a:prstGeom>
                    <a:noFill/>
                    <a:ln w="9525">
                      <a:noFill/>
                      <a:headEnd/>
                      <a:tailEnd/>
                    </a:ln>
                  </pic:spPr>
                </pic:pic>
              </a:graphicData>
            </a:graphic>
          </wp:inline>
        </w:drawing>
      </w:r>
    </w:p>
    <w:p>
      <w:pPr>
        <w:pStyle w:val="BodyText"/>
      </w:pPr>
      <w:r>
        <w:rPr>
          <w:b/>
          <w:bCs/>
        </w:rPr>
        <w:t xml:space="preserve">Fig. S18 | Prediction surfaces of three model families at three administrative scales, 2024.</w:t>
      </w:r>
      <w:r>
        <w:t xml:space="preserve"> </w:t>
      </w:r>
      <w:r>
        <w:t xml:space="preserve">Rows: province, prefecture, county; columns: mechanistic two-stage model, random forest, XGBoost. Each column is internally consistent (its own province stage times its own within-province allocation); colour scales are shared within rows (log10 expected number of records). Basemap GS(2019)1822.</w:t>
      </w:r>
    </w:p>
    <w:p>
      <w:pPr>
        <w:pStyle w:val="BodyText"/>
      </w:pPr>
      <w:r>
        <w:drawing>
          <wp:inline>
            <wp:extent cx="5334000" cy="5037074"/>
            <wp:effectExtent b="0" l="0" r="0" t="0"/>
            <wp:docPr descr="" title="" id="82" name="Picture"/>
            <a:graphic>
              <a:graphicData uri="http://schemas.openxmlformats.org/drawingml/2006/picture">
                <pic:pic>
                  <pic:nvPicPr>
                    <pic:cNvPr descr="/Users/dingchenchen/Documents/New%20records/bird-new-distribution-records/tasks/bird_hazard_model_effort_upgrade_v2/analysis_v2/figures_multiscale/en/FigMS4_future_scenarios_by_model_si.png" id="83" name="Picture"/>
                    <pic:cNvPicPr>
                      <a:picLocks noChangeArrowheads="1" noChangeAspect="1"/>
                    </pic:cNvPicPr>
                  </pic:nvPicPr>
                  <pic:blipFill>
                    <a:blip r:embed="rId81"/>
                    <a:stretch>
                      <a:fillRect/>
                    </a:stretch>
                  </pic:blipFill>
                  <pic:spPr bwMode="auto">
                    <a:xfrm>
                      <a:off x="0" y="0"/>
                      <a:ext cx="5334000" cy="5037074"/>
                    </a:xfrm>
                    <a:prstGeom prst="rect">
                      <a:avLst/>
                    </a:prstGeom>
                    <a:noFill/>
                    <a:ln w="9525">
                      <a:noFill/>
                      <a:headEnd/>
                      <a:tailEnd/>
                    </a:ln>
                  </pic:spPr>
                </pic:pic>
              </a:graphicData>
            </a:graphic>
          </wp:inline>
        </w:drawing>
      </w:r>
    </w:p>
    <w:p>
      <w:pPr>
        <w:pStyle w:val="BodyText"/>
      </w:pPr>
      <w:r>
        <w:rPr>
          <w:b/>
          <w:bCs/>
        </w:rPr>
        <w:t xml:space="preserve">Fig. S19 | Future projections under the scenario grid, by model family.</w:t>
      </w:r>
      <w:r>
        <w:t xml:space="preserve"> </w:t>
      </w:r>
      <w:r>
        <w:rPr>
          <w:b/>
          <w:bCs/>
        </w:rPr>
        <w:t xml:space="preserve">a</w:t>
      </w:r>
      <w:r>
        <w:t xml:space="preserve">–</w:t>
      </w:r>
      <w:r>
        <w:rPr>
          <w:b/>
          <w:bCs/>
        </w:rPr>
        <w:t xml:space="preserve">c</w:t>
      </w:r>
      <w:r>
        <w:t xml:space="preserve">, Predicted first records per province in 2050 for the mechanistic model (</w:t>
      </w:r>
      <w:r>
        <w:rPr>
          <w:b/>
          <w:bCs/>
        </w:rPr>
        <w:t xml:space="preserve">a</w:t>
      </w:r>
      <w:r>
        <w:t xml:space="preserve">), a random forest (</w:t>
      </w:r>
      <w:r>
        <w:rPr>
          <w:b/>
          <w:bCs/>
        </w:rPr>
        <w:t xml:space="preserve">b</w:t>
      </w:r>
      <w:r>
        <w:t xml:space="preserve">) and XGBoost (</w:t>
      </w:r>
      <w:r>
        <w:rPr>
          <w:b/>
          <w:bCs/>
        </w:rPr>
        <w:t xml:space="preserve">c</w:t>
      </w:r>
      <w:r>
        <w:t xml:space="preserve">) under SSP2-4.5 and SSP5-8.5 crossed with effort frozen at 2024 or growing at 0.6 SD per decade. Colour is log10 of the expected number, shared across all twelve maps; transparency encodes the fraction of species–province cells inside the fitted covariate support; national totals and support fractions are given per panel.</w:t>
      </w:r>
      <w:r>
        <w:t xml:space="preserve"> </w:t>
      </w:r>
      <w:r>
        <w:rPr>
          <w:b/>
          <w:bCs/>
        </w:rPr>
        <w:t xml:space="preserve">d</w:t>
      </w:r>
      <w:r>
        <w:t xml:space="preserve">, National totals across all eight scenarios and both horizons; all three families are calibrated to the same 2024 baseline (22.4 records per year), so the scenario slopes are each family’s own.</w:t>
      </w:r>
    </w:p>
    <w:p>
      <w:pPr>
        <w:pStyle w:val="BodyText"/>
      </w:pPr>
      <w:r>
        <w:drawing>
          <wp:inline>
            <wp:extent cx="5334000" cy="5671820"/>
            <wp:effectExtent b="0" l="0" r="0" t="0"/>
            <wp:docPr descr="" title="" id="85" name="Picture"/>
            <a:graphic>
              <a:graphicData uri="http://schemas.openxmlformats.org/drawingml/2006/picture">
                <pic:pic>
                  <pic:nvPicPr>
                    <pic:cNvPr descr="/Users/dingchenchen/Documents/New%20records/bird-new-distribution-records/tasks/bird_hazard_model_effort_upgrade_v2/analysis_v2/figures_multiscale/en/FigMS5_future_multiscale_by_model_si.png" id="86" name="Picture"/>
                    <pic:cNvPicPr>
                      <a:picLocks noChangeArrowheads="1" noChangeAspect="1"/>
                    </pic:cNvPicPr>
                  </pic:nvPicPr>
                  <pic:blipFill>
                    <a:blip r:embed="rId84"/>
                    <a:stretch>
                      <a:fillRect/>
                    </a:stretch>
                  </pic:blipFill>
                  <pic:spPr bwMode="auto">
                    <a:xfrm>
                      <a:off x="0" y="0"/>
                      <a:ext cx="5334000" cy="5671820"/>
                    </a:xfrm>
                    <a:prstGeom prst="rect">
                      <a:avLst/>
                    </a:prstGeom>
                    <a:noFill/>
                    <a:ln w="9525">
                      <a:noFill/>
                      <a:headEnd/>
                      <a:tailEnd/>
                    </a:ln>
                  </pic:spPr>
                </pic:pic>
              </a:graphicData>
            </a:graphic>
          </wp:inline>
        </w:drawing>
      </w:r>
    </w:p>
    <w:p>
      <w:pPr>
        <w:pStyle w:val="BodyText"/>
      </w:pPr>
      <w:r>
        <w:rPr>
          <w:b/>
          <w:bCs/>
        </w:rPr>
        <w:t xml:space="preserve">Fig. S20 | Multi-scale prediction surfaces under one future scenario (SSP2-4.5, continued effort growth, 2050).</w:t>
      </w:r>
      <w:r>
        <w:t xml:space="preserve"> </w:t>
      </w:r>
      <w:r>
        <w:t xml:space="preserve">Rows: province, prefecture, county; columns: mechanistic model, random forest, XGBoost. Each column is internally consistent (its own provincial expectation times its own within-province allocation shares); prefecture and county surfaces hold the 2024 allocation shares fixed. Colour scales are shared within rows (log10); transparency encodes the in-support fraction. Basemap GS(2019)1822.</w:t>
      </w:r>
    </w:p>
    <w:bookmarkEnd w:id="87"/>
    <w:bookmarkEnd w:id="88"/>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36" Type="http://schemas.openxmlformats.org/officeDocument/2006/relationships/image" Target="media/rId36.png"/><Relationship Id="rId51" Type="http://schemas.openxmlformats.org/officeDocument/2006/relationships/image" Target="media/rId51.png"/><Relationship Id="rId57" Type="http://schemas.openxmlformats.org/officeDocument/2006/relationships/image" Target="media/rId57.png"/><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54" Type="http://schemas.openxmlformats.org/officeDocument/2006/relationships/image" Target="media/rId54.png"/><Relationship Id="rId78" Type="http://schemas.openxmlformats.org/officeDocument/2006/relationships/image" Target="media/rId78.png"/><Relationship Id="rId75" Type="http://schemas.openxmlformats.org/officeDocument/2006/relationships/image" Target="media/rId75.png"/><Relationship Id="rId72" Type="http://schemas.openxmlformats.org/officeDocument/2006/relationships/image" Target="media/rId72.png"/><Relationship Id="rId81" Type="http://schemas.openxmlformats.org/officeDocument/2006/relationships/image" Target="media/rId81.png"/><Relationship Id="rId84" Type="http://schemas.openxmlformats.org/officeDocument/2006/relationships/image" Target="media/rId84.png"/><Relationship Id="rId69" Type="http://schemas.openxmlformats.org/officeDocument/2006/relationships/image" Target="media/rId69.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2026-09-10T11:30:44Z</dcterms:created>
  <dcterms:modified xsi:type="dcterms:W3CDTF">2026-09-10T11:30:44Z</dcterms:modified>
</cp:coreProperties>
</file>

<file path=docProps/custom.xml><?xml version="1.0" encoding="utf-8"?>
<Properties xmlns="http://schemas.openxmlformats.org/officeDocument/2006/custom-properties" xmlns:vt="http://schemas.openxmlformats.org/officeDocument/2006/docPropsVTypes"/>
</file>