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s"/>
    <w:p>
      <w:pPr>
        <w:pStyle w:val="Heading2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Main model. Discrete-time proportional hazards, complementary log-log link;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175,901; 649 events; 392 species; 31 provinces; AIC 8,313.2. Cluster bootstrap: 300 resamples of provinces. Permutation null medians are from the strongest constrained null (N3, events shuffled among the species at risk within each province-year) for the climate terms and the interaction, and from N2 (effort shuffled across years within province) for effort; 199 permutations each. Because these nulls preserve the provincial-annual structure, their medians rather than unity are the correct reference for the corresponding effect sizes.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Term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HR per SD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95% CI (Wald)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95% CI (province cluster bootstrap)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Permutation null median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i/>
                <w:iCs/>
                <w:sz w:val="16"/>
              </w:rPr>
              <w:t xml:space="preserve">P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Accumulated warming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1.362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1.216–1.524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1.20–1.72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1.157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8.3 × 10⁻⁸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Survey effort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1.404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1.245–1.583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1.21–1.76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0.980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2.9 × 10⁻⁸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Annual climate variability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0.995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0.909–1.090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0.90–1.13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0.955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0.92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Warming × effort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0.849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0.761–0.948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0.74–0.99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0.955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3.7 × 10⁻³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σ species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0.405</w:t>
            </w: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σ province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0.326</w:t>
            </w: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</w:tr>
      <w:tr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σ province × year</w:t>
            </w:r>
          </w:p>
        </w:tc>
        <w:tc>
          <w:tcPr/>
          <w:p>
            <w:pPr>
              <w:pStyle w:val="Compact"/>
              <w:spacing w:line="240" w:lineRule="auto" w:after="0"/>
            </w:pPr>
            <w:r>
              <w:rPr>
                <w:rFonts w:ascii="Times New Roman" w:hAnsi="Times New Roman"/>
                <w:sz w:val="16"/>
              </w:rPr>
              <w:t xml:space="preserve">0.804</w:t>
            </w: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  <w:tc>
          <w:tcPr/>
          <w:p>
            <w:pPr>
              <w:pStyle w:val="Compact"/>
              <w:spacing w:line="240" w:lineRule="auto" w:after="0"/>
            </w:pPr>
          </w:p>
        </w:tc>
      </w:tr>
    </w:tbl>
    <w:bookmarkEnd w:id="9"/>
    <w:bookmarkStart w:id="10" w:name="figure-legends"/>
    <w:p>
      <w:pPr>
        <w:pStyle w:val="Heading2"/>
      </w:pPr>
      <w:r>
        <w:t xml:space="preserve">Figure legends</w:t>
      </w:r>
    </w:p>
    <w:p>
      <w:pPr>
        <w:pStyle w:val="FirstParagraph"/>
      </w:pPr>
      <w:r>
        <w:rPr>
          <w:b/>
          <w:bCs/>
        </w:rPr>
        <w:t xml:space="preserve">Fig. 1 | Survey effort and accumulated warming contribute comparably to the hazard of a new provincial record.</w:t>
      </w:r>
      <w:r>
        <w:t xml:space="preserve"> </w:t>
      </w:r>
      <w:r>
        <w:rPr>
          <w:b/>
          <w:bCs/>
        </w:rPr>
        <w:t xml:space="preserve">a</w:t>
      </w:r>
      <w:r>
        <w:t xml:space="preserve">, Hazard ratios per standard deviation with 95% Wald confidence intervals, for the four fixed effects, at three species-distribution-model thresholds. The dashed line marks unity. Note that unity is not the appropriate null for the warming terms: design-preserving permutation nulls that retain the provincial-annual climate and event structure are centred on 1.16 for accumulated warming and 0.96 for the interaction (Supplementary Fig. S9a), so the increment attributable to species-specific referencing is smaller than the distance from unity suggests.</w:t>
      </w:r>
      <w:r>
        <w:t xml:space="preserve"> </w:t>
      </w:r>
      <w:r>
        <w:rPr>
          <w:b/>
          <w:bCs/>
        </w:rPr>
        <w:t xml:space="preserve">b</w:t>
      </w:r>
      <w:r>
        <w:t xml:space="preserve">, Marginal predictions of the annual hazard against accumulated warming at the 10th, 50th and 90th percentiles of survey effort; ribbons are 95% confidence intervals on the fixed-effect linear predictor.</w:t>
      </w:r>
      <w:r>
        <w:t xml:space="preserve"> </w:t>
      </w:r>
      <w:r>
        <w:rPr>
          <w:b/>
          <w:bCs/>
        </w:rPr>
        <w:t xml:space="preserve">c</w:t>
      </w:r>
      <w:r>
        <w:t xml:space="preserve">, Relative importance of each term under four independent criteria: loss of AIC, loss of fixed-effect AUC, loss of conditional</w:t>
      </w:r>
      <w:r>
        <w:t xml:space="preserve"> </w:t>
      </w:r>
      <w:r>
        <w:rPr>
          <w:i/>
          <w:iCs/>
        </w:rPr>
        <w:t xml:space="preserve">R</w:t>
      </w:r>
      <w:r>
        <w:t xml:space="preserve">², and the absolute standardised coefficient. Larger values indicate greater importance.</w:t>
      </w:r>
      <w:r>
        <w:t xml:space="preserve"> </w:t>
      </w:r>
      <w:r>
        <w:rPr>
          <w:b/>
          <w:bCs/>
        </w:rPr>
        <w:t xml:space="preserve">d</w:t>
      </w:r>
      <w:r>
        <w:t xml:space="preserve">, Discrimination attributable to fixed effects alone as terms are added, with the random structure held at the main model.</w:t>
      </w:r>
    </w:p>
    <w:p>
      <w:pPr>
        <w:pStyle w:val="BodyText"/>
      </w:pPr>
      <w:r>
        <w:rPr>
          <w:b/>
          <w:bCs/>
        </w:rPr>
        <w:t xml:space="preserve">Fig. 2 | Dating records to publication rather than to discovery is a systematic source of bias.</w:t>
      </w:r>
      <w:r>
        <w:t xml:space="preserve"> </w:t>
      </w:r>
      <w:r>
        <w:rPr>
          <w:b/>
          <w:bCs/>
        </w:rPr>
        <w:t xml:space="preserve">a</w:t>
      </w:r>
      <w:r>
        <w:t xml:space="preserve">, Distribution of the delay between discovery and publication (bars, left axis as per cent of records) and the resulting reporting completeness</w:t>
      </w:r>
      <w:r>
        <w:t xml:space="preserve"> </w:t>
      </w:r>
      <w:r>
        <w:rPr>
          <w:i/>
          <w:iCs/>
        </w:rPr>
        <w:t xml:space="preserve">c</w:t>
      </w:r>
      <w:r>
        <w:t xml:space="preserve">(</w:t>
      </w:r>
      <w:r>
        <w:rPr>
          <w:i/>
          <w:iCs/>
        </w:rPr>
        <w:t xml:space="preserve">t</w:t>
      </w:r>
      <w:r>
        <w:t xml:space="preserve">) implied by a compilation extending to 2025 publications (line).</w:t>
      </w:r>
      <w:r>
        <w:t xml:space="preserve"> </w:t>
      </w:r>
      <w:r>
        <w:rPr>
          <w:b/>
          <w:bCs/>
        </w:rPr>
        <w:t xml:space="preserve">b</w:t>
      </w:r>
      <w:r>
        <w:t xml:space="preserve">, Annual counts of new provincial records under the two dating conventions. The shaded band marks years in which the discovery-year series is right-censored because the corresponding papers have not yet appeared.</w:t>
      </w:r>
      <w:r>
        <w:t xml:space="preserve"> </w:t>
      </w:r>
      <w:r>
        <w:rPr>
          <w:b/>
          <w:bCs/>
        </w:rPr>
        <w:t xml:space="preserve">c</w:t>
      </w:r>
      <w:r>
        <w:t xml:space="preserve">, Hazard ratios for the four fixed effects across the five-step decomposition from the previously published specification (S0) to the corrected main model (S5). The shaded column marks the re-dating step.</w:t>
      </w:r>
    </w:p>
    <w:p>
      <w:pPr>
        <w:pStyle w:val="BodyText"/>
      </w:pPr>
      <w:r>
        <w:rPr>
          <w:b/>
          <w:bCs/>
        </w:rPr>
        <w:t xml:space="preserve">Fig. 3 | The observation process made visible.</w:t>
      </w:r>
      <w:r>
        <w:t xml:space="preserve"> </w:t>
      </w:r>
      <w:r>
        <w:rPr>
          <w:b/>
          <w:bCs/>
        </w:rPr>
        <w:t xml:space="preserve">a</w:t>
      </w:r>
      <w:r>
        <w:t xml:space="preserve">, Species random intercepts as hazard multipliers, grouped by migratory strategy; diamonds are group medians.</w:t>
      </w:r>
      <w:r>
        <w:t xml:space="preserve"> </w:t>
      </w:r>
      <w:r>
        <w:rPr>
          <w:b/>
          <w:bCs/>
        </w:rPr>
        <w:t xml:space="preserve">b</w:t>
      </w:r>
      <w:r>
        <w:t xml:space="preserve">, Province random intercepts mapped, after controlling for effort and climate; grey denotes provincial units outside the analysis scope. Base map GS(2019)1822.</w:t>
      </w:r>
      <w:r>
        <w:t xml:space="preserve"> </w:t>
      </w:r>
      <w:r>
        <w:rPr>
          <w:b/>
          <w:bCs/>
        </w:rPr>
        <w:t xml:space="preserve">c</w:t>
      </w:r>
      <w:r>
        <w:t xml:space="preserve">, Province-by-year random intercepts, the largest variance component in the model. Provinces are ordered by their mean.</w:t>
      </w:r>
      <w:r>
        <w:t xml:space="preserve"> </w:t>
      </w:r>
      <w:r>
        <w:rPr>
          <w:b/>
          <w:bCs/>
        </w:rPr>
        <w:t xml:space="preserve">d</w:t>
      </w:r>
      <w:r>
        <w:t xml:space="preserve">, Hazard ratio for survey effort as a function of year, from the model that allows effects to vary through time; the ribbon is the 95% confidence interval.</w:t>
      </w:r>
    </w:p>
    <w:p>
      <w:pPr>
        <w:pStyle w:val="BodyText"/>
      </w:pPr>
      <w:r>
        <w:rPr>
          <w:b/>
          <w:bCs/>
        </w:rPr>
        <w:t xml:space="preserve">Fig. 4 | Directionality of new records relative to the species’ known range.</w:t>
      </w:r>
      <w:r>
        <w:t xml:space="preserve"> </w:t>
      </w:r>
      <w:r>
        <w:t xml:space="preserve">Bearing from the centroid of each species’ BirdLife range to the record, binned into eight 45° sectors. Radar and wind-rose forms are provided for the overall data, for the six largest orders overlaid, and for each of the sixteen best-sampled orders individually. Every order panel carries both sample sizes, new records and species, because one species can contribute records in several provinces. Overlay panels use each order’s own proportions; absolute sample sizes are in the legend.</w:t>
      </w:r>
    </w:p>
    <w:p>
      <w:pPr>
        <w:pStyle w:val="BodyText"/>
      </w:pPr>
      <w:r>
        <w:rPr>
          <w:b/>
          <w:bCs/>
        </w:rPr>
        <w:t xml:space="preserve">Fig. 5 | The two model families agree inside the fitted range and diverge outside it.</w:t>
      </w:r>
      <w:r>
        <w:t xml:space="preserve"> </w:t>
      </w:r>
      <w:r>
        <w:rPr>
          <w:b/>
          <w:bCs/>
        </w:rPr>
        <w:t xml:space="preserve">a</w:t>
      </w:r>
      <w:r>
        <w:t xml:space="preserve">, Province-year mean predicted hazard, 2002–2024.</w:t>
      </w:r>
      <w:r>
        <w:t xml:space="preserve"> </w:t>
      </w:r>
      <w:r>
        <w:rPr>
          <w:b/>
          <w:bCs/>
        </w:rPr>
        <w:t xml:space="preserve">b</w:t>
      </w:r>
      <w:r>
        <w:t xml:space="preserve">, First-to-99th-percentile range of each predictor in the fitted data and in each scenario-horizon combination.</w:t>
      </w:r>
      <w:r>
        <w:t xml:space="preserve"> </w:t>
      </w:r>
      <w:r>
        <w:rPr>
          <w:b/>
          <w:bCs/>
        </w:rPr>
        <w:t xml:space="preserve">c</w:t>
      </w:r>
      <w:r>
        <w:t xml:space="preserve">, Province-level projected hazard ratios, with rank correlation and directional agreement per panel.</w:t>
      </w:r>
    </w:p>
    <w:bookmarkEnd w:id="10"/>
    <w:sectPr>
      <w:footerReference w:type="default" r:id="rId9"/>
      <w:footnotePr>
        <w:numRestart w:val="eachSect"/>
      </w:footnote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Times New Roman" w:hAnsi="Times New Roman" w:eastAsia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b/>
      <w:color w:val="000000"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b/>
      <w:color w:val="000000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/>
      <w:b/>
      <w:i/>
      <w:iCs/>
      <w:color w:val="000000"/>
      <w:sz w:val="26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/>
      <w:b/>
      <w:color w:val="000000"/>
      <w:sz w:val="26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Times New Roman" w:hAnsi="Times New Roman"/>
      <w:b/>
      <w:i/>
      <w:iCs/>
      <w:color w:val="000000"/>
      <w:sz w:val="26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ascii="Times New Roman" w:hAnsi="Times New Roman"/>
      <w:b/>
      <w:color w:val="000000"/>
      <w:sz w:val="26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ascii="Times New Roman" w:hAnsi="Times New Roman"/>
      <w:b/>
      <w:i/>
      <w:iCs/>
      <w:color w:val="000000"/>
      <w:sz w:val="26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ascii="Times New Roman" w:hAnsi="Times New Roman"/>
      <w:b/>
      <w:color w:val="000000"/>
      <w:sz w:val="26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ascii="Times New Roman" w:hAnsi="Times New Roman"/>
      <w:b/>
      <w:color w:val="000000"/>
      <w:sz w:val="26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ascii="Times New Roman" w:hAnsi="Times New Roman"/>
      <w:b/>
      <w:color w:val="000000"/>
      <w:sz w:val="26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ascii="Times New Roman" w:hAnsi="Times New Roman"/>
      <w:b/>
      <w:color w:val="000000"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ascii="Times New Roman" w:hAnsi="Times New Roman"/>
      <w:b/>
      <w:i/>
      <w:iCs/>
      <w:color w:val="000000"/>
      <w:sz w:val="26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ascii="Times New Roman" w:hAnsi="Times New Roman"/>
      <w:b/>
      <w:color w:val="000000"/>
      <w:sz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ascii="Times New Roman" w:hAnsi="Times New Roman"/>
      <w:b/>
      <w:i/>
      <w:iCs/>
      <w:color w:val="000000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ascii="Times New Roman" w:hAnsi="Times New Roman"/>
      <w:b/>
      <w:color w:val="000000"/>
      <w:sz w:val="26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ascii="Times New Roman" w:hAnsi="Times New Roman"/>
      <w:b/>
      <w:i/>
      <w:iCs/>
      <w:color w:val="000000"/>
      <w:sz w:val="26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ascii="Times New Roman" w:hAnsi="Times New Roman"/>
      <w:b/>
      <w:color w:val="000000"/>
      <w:sz w:val="26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2026-09-10T11:30:42Z</dcterms:created>
  <dcterms:modified xsi:type="dcterms:W3CDTF">2026-09-10T11:30:42Z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