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0.849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McFadden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0.341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4.</w:t>
      </w:r>
      <w:r>
        <w:t xml:space="preserve"> </w:t>
      </w:r>
      <w:r>
        <w:t xml:space="preserve">Model adequacy.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Check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Statistic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Reading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KS uniformity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calibrated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Zero inflation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Outliers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&lt; 0.001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expected at 0.37% event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23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31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Moran’s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 spatial structure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warming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−0.022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assumption holds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effort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−0.211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7.7 × 10⁻⁴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returns decline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5.</w:t>
      </w:r>
      <w:r>
        <w:t xml:space="preserve"> </w:t>
      </w:r>
      <w:r>
        <w:t xml:space="preserve">Ecological rationale for every component of the main model. Each row states why the</w:t>
      </w:r>
      <w:r>
        <w:t xml:space="preserve"> </w:t>
      </w:r>
      <w:r>
        <w:t xml:space="preserve">component is in the model, what its estimate means, and one falsifiable prediction the</w:t>
      </w:r>
      <w:r>
        <w:t xml:space="preserve"> </w:t>
      </w:r>
      <w:r>
        <w:t xml:space="preserve">specification implies. All predictions are tested in the paper. The full version, with the</w:t>
      </w:r>
      <w:r>
        <w:t xml:space="preserve"> </w:t>
      </w:r>
      <w:r>
        <w:t xml:space="preserve">prediction column, is</w:t>
      </w:r>
      <w:r>
        <w:t xml:space="preserve"> </w:t>
      </w:r>
      <w:r>
        <w:rPr>
          <w:rStyle w:val="VerbatimChar"/>
        </w:rPr>
        <w:t xml:space="preserve">tables/tbl_v2_ecological_rationale.csv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docs/ECOLOGICAL_RATIONALE.md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Component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Why it is in the 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What the estimate means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Response: first record only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species-province pair can acquire a first record once; treating re-documentation as new information would inflate the event count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annual probability of crossing from undocumented to documented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cloglog link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Discrete-time analogue of proportional hazards; coefficients are hazard ratios and do not depend on the length of the time 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exp(β) is directly comparable with survival-analysis literature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Risk set with absorbing exit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Only species whose modelled range approaches a province are plausible candidates; pairs recorded before 2002 are prevalent, not incident, cases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Hazard conditional on being a plausible, not-yet-recorded candidate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W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15 yr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boundaries integrate climate over years to decades; referencing to the species’ own range is essential because absolute warming is near-uniform across China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1.362 per 0.179 °C of province-minus-range warming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Separates decadal signal from year-to-year weather, so neither term can absorb the other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0.995: weather in the discovery year adds nothing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 can only be recorded where someone is looking; required for the climate coefficient to be interpretable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1.404 per 1 SD; one SD multiplies annual visits by 7.75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Sparsely surveyed provinces are disproportionately montane with steep climatic gradients, and densely surveyed ones have already absorbed much of their Wallacean shortfall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0.849: warming matters most where coverage is sparse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Offset log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c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t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Records enter only after publication, so recent years are under-represented; under incomplete reporting this is exactly an offset, not an approximation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Corrects for right-censoring without consuming a degree of freedom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(1|species), SD 0.405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Body size, song conspicuousness, habitat accessibility, density and taxonomic attention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×1.50 per SD; species span a 3.7-fold range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(1|province), SD 0.326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Area, terrain complexity, habitat diversity, observer population, research tradition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×1.39 per SD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(1|province:year), SD 0.804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scale at which the observation process operates: regional campaigns, festivals, new reserves, local reporting channels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×2.23 per SD, larger than either fixed effect; levels span 13-fold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Baseline 1980–2000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Must end before the analysis period, or part of the warming being tested is written into the reference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Anomalies measured against the most recent non-overlapping period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  <w:pageBreakBefore/>
      </w:pPr>
      <w:r>
        <w:rPr>
          <w:b/>
          <w:bCs/>
        </w:rPr>
        <w:t xml:space="preserve">Table 6.</w:t>
      </w:r>
      <w:r>
        <w:t xml:space="preserve"> </w:t>
      </w:r>
      <w:r>
        <w:t xml:space="preserve">Migratory stratification. Full results in</w:t>
      </w:r>
      <w:r>
        <w:t xml:space="preserve"> </w:t>
      </w:r>
      <w:r>
        <w:rPr>
          <w:rStyle w:val="VerbatimChar"/>
        </w:rPr>
        <w:t xml:space="preserve">tables/tbl_v2_migratory_ladder.csv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tbl_v2_migratory_stratified.csv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tbl_v2_migratory_interaction_by_group.csv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 HR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1.363 (1.158–1.605)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1.293 (1.110–1.506)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156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1.507 (1.244–1.826)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1.270 (1.030–1.566)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Long-distance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1.514 (1.265–1.812)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1.344 (1.130–1.598)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Moderation tests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0.693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three-way 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0.256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7.</w:t>
      </w:r>
      <w:r>
        <w:t xml:space="preserve"> </w:t>
      </w:r>
      <w:r>
        <w:t xml:space="preserve">Species-level range measures, all from phylogenetic logistic regression on the dated</w:t>
      </w:r>
      <w:r>
        <w:t xml:space="preserve"> </w:t>
      </w:r>
      <w:r>
        <w:t xml:space="preserve">tree. Full results in</w:t>
      </w:r>
      <w:r>
        <w:t xml:space="preserve"> </w:t>
      </w:r>
      <w:r>
        <w:rPr>
          <w:rStyle w:val="VerbatimChar"/>
        </w:rPr>
        <w:t xml:space="preserve">tables/tbl_v2_species_range_measures.csv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tbl_v2_species_range_circularity.csv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Measure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with a record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OR per SD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Global range area (AVONET)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1.456 (1.204–1.762)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 × 10⁻⁴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China range area (BirdLife, clipped)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1,003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1.653 (1.420–1.925)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9.0 × 10⁻¹¹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Provinces occupied —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not reported as a result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2.09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 × 10⁻¹⁵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8.</w:t>
      </w:r>
      <w:r>
        <w:t xml:space="preserve"> </w:t>
      </w:r>
      <w:r>
        <w:t xml:space="preserve">Province-level models. Full results in</w:t>
      </w:r>
      <w:r>
        <w:t xml:space="preserve"> </w:t>
      </w:r>
      <w:r>
        <w:rPr>
          <w:rStyle w:val="VerbatimChar"/>
        </w:rPr>
        <w:t xml:space="preserve">tables/tbl_v2_province_*.csv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Poisson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5.60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2.3 × 10⁻¹⁷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302.2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246.5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binomial, recent effort as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266.8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Counts, IRR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Rate per unit of effort, IRR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Regional species richness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1.27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0.036)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Early survey effort (2002–2008)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0.71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0.028)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Recent survey effort (2009–2024)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GDP per capita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0.0027)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Administrative area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Habitat heterogeneity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1.03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9.</w:t>
      </w:r>
      <w:r>
        <w:t xml:space="preserve"> </w:t>
      </w:r>
      <w:r>
        <w:t xml:space="preserve">Species-level effects fitted separately within taxonomic and migratory groups, all</w:t>
      </w:r>
      <w:r>
        <w:t xml:space="preserve"> </w:t>
      </w:r>
      <w:r>
        <w:t xml:space="preserve">from phylogenetic logistic regression on the dated tree. Only significant terms are shown; full</w:t>
      </w:r>
      <w:r>
        <w:t xml:space="preserve"> </w:t>
      </w:r>
      <w:r>
        <w:t xml:space="preserve">results in</w:t>
      </w:r>
      <w:r>
        <w:t xml:space="preserve"> </w:t>
      </w:r>
      <w:r>
        <w:rPr>
          <w:rStyle w:val="VerbatimChar"/>
        </w:rPr>
        <w:t xml:space="preserve">tables/tbl_v2_species_group_effects.csv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With records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Significant terms (OR,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Taxonomic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Passeriformes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1.53 (0.0020); partial migrant 2.01 (0.0081)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Non-passerines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 3.19 (3.3 × 10⁻⁴)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All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1.44; partial migrant 1.91; open habitat 0.55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1.60 (0.0042)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Granivore 0.28 (0.044)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127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Hand-wing index 0.51 (3.8 × 10⁻⁴); body mass 1.74 (0.0037); open habitat 0.42 (0.013)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(Extended Data Fig. 5a),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3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Fig. 4 | Random-effect structures evaluated on fit, explanatory power, variance structure and ecological meaning.</w:t>
      </w:r>
      <w:r>
        <w:t xml:space="preserve"> </w:t>
      </w:r>
      <w:r>
        <w:rPr>
          <w:b/>
          <w:bCs/>
        </w:rPr>
        <w:t xml:space="preserve">a</w:t>
      </w:r>
      <w:r>
        <w:t xml:space="preserve">, ΔAIC; the main model is highlighted.</w:t>
      </w:r>
      <w:r>
        <w:t xml:space="preserve"> </w:t>
      </w:r>
      <w:r>
        <w:rPr>
          <w:b/>
          <w:bCs/>
        </w:rPr>
        <w:t xml:space="preserve">b</w:t>
      </w:r>
      <w:r>
        <w:t xml:space="preserve">,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conditional AUC and marginal AUC. Marginal AUC is flat across structures, confirming that the random terms absorb observational heterogeneity without redistributing the fixed-effect signal.</w:t>
      </w:r>
      <w:r>
        <w:t xml:space="preserve"> </w:t>
      </w:r>
      <w:r>
        <w:rPr>
          <w:b/>
          <w:bCs/>
        </w:rPr>
        <w:t xml:space="preserve">c</w:t>
      </w:r>
      <w:r>
        <w:t xml:space="preserve">, Random-effect standard deviations on the latent scale; no component collapses in any structure.</w:t>
      </w:r>
    </w:p>
    <w:p>
      <w:pPr>
        <w:pStyle w:val="BodyText"/>
      </w:pPr>
      <w:r>
        <w:rPr>
          <w:b/>
          <w:bCs/>
        </w:rPr>
        <w:t xml:space="preserve">Fig. 5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Fig. 6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7 | Accumulation window and climate baseline.</w:t>
      </w:r>
      <w:r>
        <w:t xml:space="preserve"> </w:t>
      </w:r>
      <w:r>
        <w:t xml:space="preserve">Windows of 5, 10, 15 and 20 years against three series: the main WorldClim 10-arc-minute data with a 1980–2000 baseline, the same baseline computed from CRU TS at 0.5° as a control for data source and resolution, and CRU TS with a 1970–2000 baseline.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warming.</w:t>
      </w:r>
      <w:r>
        <w:t xml:space="preserve"> </w:t>
      </w:r>
      <w:r>
        <w:rPr>
          <w:b/>
          <w:bCs/>
        </w:rPr>
        <w:t xml:space="preserve">b</w:t>
      </w:r>
      <w:r>
        <w:t xml:space="preserve">, Hazard ratio for survey effort.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 for the interaction.</w:t>
      </w:r>
      <w:r>
        <w:t xml:space="preserve"> </w:t>
      </w:r>
      <w:r>
        <w:rPr>
          <w:b/>
          <w:bCs/>
        </w:rPr>
        <w:t xml:space="preserve">d</w:t>
      </w:r>
      <w:r>
        <w:t xml:space="preserve">, ΔAIC within each series; circles mark the optimum. Ribbons are 95% confidence intervals.</w:t>
      </w:r>
    </w:p>
    <w:p>
      <w:pPr>
        <w:pStyle w:val="BodyText"/>
      </w:pPr>
      <w:r>
        <w:rPr>
          <w:b/>
          <w:bCs/>
        </w:rPr>
        <w:t xml:space="preserve">Fig. 8 | Migratory strategy shifts the baseline hazard but does not moderate either driver.</w:t>
      </w:r>
      <w:r>
        <w:t xml:space="preserve"> </w:t>
      </w:r>
      <w:r>
        <w:rPr>
          <w:b/>
          <w:bCs/>
        </w:rPr>
        <w:t xml:space="preserve">a</w:t>
      </w:r>
      <w:r>
        <w:t xml:space="preserve">, Risk-set rows, events and species in each group; the three groups with a known strategy carry 549 events in total.</w:t>
      </w:r>
      <w:r>
        <w:t xml:space="preserve"> </w:t>
      </w:r>
      <w:r>
        <w:rPr>
          <w:b/>
          <w:bCs/>
        </w:rPr>
        <w:t xml:space="preserve">b</w:t>
      </w:r>
      <w:r>
        <w:t xml:space="preserve">, Group-specific hazard ratios from models fitted separately within each group, with 95% confidence intervals.</w:t>
      </w:r>
      <w:r>
        <w:t xml:space="preserve"> </w:t>
      </w:r>
      <w:r>
        <w:rPr>
          <w:b/>
          <w:bCs/>
        </w:rPr>
        <w:t xml:space="preserve">c</w:t>
      </w:r>
      <w:r>
        <w:t xml:space="preserve">, ΔAIC across the moderation ladder; red text is the likelihood-ratio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against the model with a migratory main effect only.</w:t>
      </w:r>
      <w:r>
        <w:t xml:space="preserve"> </w:t>
      </w:r>
      <w:r>
        <w:rPr>
          <w:b/>
          <w:bCs/>
        </w:rPr>
        <w:t xml:space="preserve">d</w:t>
      </w:r>
      <w:r>
        <w:t xml:space="preserve">, Group-specific warming × effort interaction derived from the three-way model; filled points are significant within group, open points are not. The formal test for heterogeneity among groups is not significant.</w:t>
      </w:r>
    </w:p>
    <w:p>
      <w:pPr>
        <w:pStyle w:val="BodyText"/>
      </w:pPr>
      <w:r>
        <w:rPr>
          <w:b/>
          <w:bCs/>
        </w:rPr>
        <w:t xml:space="preserve">Fig. 9 | Species-level correlates of new provincial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Continuous traits, as odds ratios per standard deviation with 95% confidence intervals, under three treatments of phylogenetic non-independence. Filled points are significant.</w:t>
      </w:r>
      <w:r>
        <w:t xml:space="preserve"> </w:t>
      </w:r>
      <w:r>
        <w:rPr>
          <w:b/>
          <w:bCs/>
        </w:rPr>
        <w:t xml:space="preserve">b</w:t>
      </w:r>
      <w:r>
        <w:t xml:space="preserve">, Categorical contrasts against their reference levels.</w:t>
      </w:r>
      <w:r>
        <w:t xml:space="preserve"> </w:t>
      </w:r>
      <w:r>
        <w:rPr>
          <w:b/>
          <w:bCs/>
        </w:rPr>
        <w:t xml:space="preserve">c</w:t>
      </w:r>
      <w:r>
        <w:t xml:space="preserve">, Range measured as an area, from two independent sources, against range measured as a count of provinces occupied.</w:t>
      </w:r>
      <w:r>
        <w:t xml:space="preserve"> </w:t>
      </w:r>
      <w:r>
        <w:rPr>
          <w:b/>
          <w:bCs/>
        </w:rPr>
        <w:t xml:space="preserve">d</w:t>
      </w:r>
      <w:r>
        <w:t xml:space="preserve">, For every term, the number of phylogenetic treatments in which it is significant, with the range of odds ratios across treatments.</w:t>
      </w:r>
    </w:p>
    <w:p>
      <w:pPr>
        <w:pStyle w:val="BodyText"/>
      </w:pPr>
      <w:r>
        <w:rPr>
          <w:b/>
          <w:bCs/>
        </w:rPr>
        <w:t xml:space="preserve">Fig. 10 | Province-level counts of new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Model comparison: Poisson against negative binomial, with and without recent effort as an offset.</w:t>
      </w:r>
      <w:r>
        <w:t xml:space="preserve"> </w:t>
      </w:r>
      <w:r>
        <w:rPr>
          <w:b/>
          <w:bCs/>
        </w:rPr>
        <w:t xml:space="preserve">b</w:t>
      </w:r>
      <w:r>
        <w:t xml:space="preserve">, Incidence rate ratios per standard deviation from the two negative-binomial models.</w:t>
      </w:r>
      <w:r>
        <w:t xml:space="preserve"> </w:t>
      </w:r>
      <w:r>
        <w:rPr>
          <w:b/>
          <w:bCs/>
        </w:rPr>
        <w:t xml:space="preserve">c</w:t>
      </w:r>
      <w:r>
        <w:t xml:space="preserve">, Hierarchical partitioning of explained deviance into independent and joint contributions.</w:t>
      </w:r>
      <w:r>
        <w:t xml:space="preserve"> </w:t>
      </w:r>
      <w:r>
        <w:rPr>
          <w:b/>
          <w:bCs/>
        </w:rPr>
        <w:t xml:space="preserve">d</w:t>
      </w:r>
      <w:r>
        <w:t xml:space="preserve">, Partial correlation of each predictor with the record count, holding the others constant.</w:t>
      </w:r>
    </w:p>
    <w:p>
      <w:pPr>
        <w:pStyle w:val="BodyText"/>
      </w:pPr>
      <w:r>
        <w:rPr>
          <w:b/>
          <w:bCs/>
        </w:rPr>
        <w:t xml:space="preserve">Fig. 11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M1 | Mechanistic projection of the latent generation hazard, restricted to the fitted covariate support.</w:t>
      </w:r>
      <w:r>
        <w:t xml:space="preserve"> </w:t>
      </w:r>
      <w:r>
        <w:t xml:space="preserve">Provincial hazard relative to 2024 under two SSP scenarios at three horizons, aggregating only species-province cells whose accumulated warming and survey effort fall inside the 1st–99th percentile of the fitted data. The percentage on each panel is the share of cells that qualify.</w:t>
      </w:r>
    </w:p>
    <w:p>
      <w:pPr>
        <w:pStyle w:val="BodyText"/>
      </w:pPr>
      <w:r>
        <w:rPr>
          <w:b/>
          <w:bCs/>
        </w:rPr>
        <w:t xml:space="preserve">Fig. M2 | Machine-learning projection under identical inputs and the same support mask.</w:t>
      </w:r>
    </w:p>
    <w:p>
      <w:pPr>
        <w:pStyle w:val="BodyText"/>
      </w:pPr>
      <w:r>
        <w:rPr>
          <w:b/>
          <w:bCs/>
        </w:rPr>
        <w:t xml:space="preserve">Fig. M3 | TreeSHAP interpretation of the gradient-boosted model.</w:t>
      </w:r>
      <w:r>
        <w:t xml:space="preserve"> </w:t>
      </w:r>
      <w:r>
        <w:rPr>
          <w:b/>
          <w:bCs/>
        </w:rPr>
        <w:t xml:space="preserve">a</w:t>
      </w:r>
      <w:r>
        <w:t xml:space="preserve">, Mean absolute SHAP contribution per feature.</w:t>
      </w:r>
      <w:r>
        <w:t xml:space="preserve"> </w:t>
      </w:r>
      <w:r>
        <w:rPr>
          <w:b/>
          <w:bCs/>
        </w:rPr>
        <w:t xml:space="preserve">b</w:t>
      </w:r>
      <w:r>
        <w:t xml:space="preserve">, SHAP dependence, monotone increasing for both accumulated warming and survey effort.</w:t>
      </w:r>
    </w:p>
    <w:p>
      <w:pPr>
        <w:pStyle w:val="BodyText"/>
      </w:pPr>
      <w:r>
        <w:rPr>
          <w:b/>
          <w:bCs/>
        </w:rPr>
        <w:t xml:space="preserve">Fig. M4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p>
      <w:pPr>
        <w:pStyle w:val="BodyText"/>
      </w:pPr>
      <w:r>
        <w:rPr>
          <w:b/>
          <w:bCs/>
        </w:rPr>
        <w:t xml:space="preserve">Extended Data Fig. 1 | Simulation-based residual diagnostics for the main model.</w:t>
      </w:r>
      <w:r>
        <w:t xml:space="preserve"> </w:t>
      </w:r>
      <w:r>
        <w:rPr>
          <w:b/>
          <w:bCs/>
        </w:rPr>
        <w:t xml:space="preserve">a</w:t>
      </w:r>
      <w:r>
        <w:t xml:space="preserve">, Quantile–quantile plot of DHARMa scaled residuals against the uniform distribution, from 500 simulations; every 40th point is drawn.</w:t>
      </w:r>
      <w:r>
        <w:t xml:space="preserve"> </w:t>
      </w:r>
      <w:r>
        <w:rPr>
          <w:b/>
          <w:bCs/>
        </w:rPr>
        <w:t xml:space="preserve">b</w:t>
      </w:r>
      <w:r>
        <w:t xml:space="preserve">, Kolmogorov–Smirnov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the residuals of each year and each province, against the nominal 5% level.</w:t>
      </w:r>
      <w:r>
        <w:t xml:space="preserve"> </w:t>
      </w:r>
      <w:r>
        <w:rPr>
          <w:b/>
          <w:bCs/>
        </w:rPr>
        <w:t xml:space="preserve">c</w:t>
      </w:r>
      <w:r>
        <w:t xml:space="preserve">,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of province-mean residuals against a null distribution from 999 permutations of province labels, with inverse-distance weights.</w:t>
      </w:r>
      <w:r>
        <w:t xml:space="preserve"> </w:t>
      </w:r>
      <w:r>
        <w:rPr>
          <w:b/>
          <w:bCs/>
        </w:rPr>
        <w:t xml:space="preserve">d</w:t>
      </w:r>
      <w:r>
        <w:t xml:space="preserve">, Rate of change of each focal coefficient with time on the log-hazard scale, testing the proportional-hazards assumption.</w:t>
      </w:r>
    </w:p>
    <w:p>
      <w:pPr>
        <w:pStyle w:val="BodyText"/>
      </w:pPr>
      <w:r>
        <w:rPr>
          <w:b/>
          <w:bCs/>
        </w:rPr>
        <w:t xml:space="preserve">Extended Data Fig. 3 | The same mechanistic projection without the support mask</w:t>
      </w:r>
      <w:r>
        <w:t xml:space="preserve">, shown to indicate the magnitude of the extrapolation.</w:t>
      </w:r>
    </w:p>
    <w:p>
      <w:pPr>
        <w:pStyle w:val="BodyText"/>
      </w:pPr>
      <w:r>
        <w:rPr>
          <w:b/>
          <w:bCs/>
        </w:rPr>
        <w:t xml:space="preserve">Extended Data Fig. 5 | Design-preserving null models, resampling and influence.</w:t>
      </w:r>
      <w:r>
        <w:t xml:space="preserve"> </w:t>
      </w:r>
      <w:r>
        <w:rPr>
          <w:b/>
          <w:bCs/>
        </w:rPr>
        <w:t xml:space="preserve">a</w:t>
      </w:r>
      <w:r>
        <w:t xml:space="preserve">, Null distributions of the four fixed effects under three permutation schemes, each destroying exactly one association while holding the risk set, the per-province-year event counts, the effort and completeness marginals and the random-effect hierarchy fixed (199 permutations each); red lines mark the observed values. The null for accumulated warming is centred near 1.16 rather than unity because permuting within province-years preserves the covariance between provincial-annual climate and provincial-annual event counts.</w:t>
      </w:r>
      <w:r>
        <w:t xml:space="preserve"> </w:t>
      </w:r>
      <w:r>
        <w:rPr>
          <w:b/>
          <w:bCs/>
        </w:rPr>
        <w:t xml:space="preserve">b</w:t>
      </w:r>
      <w:r>
        <w:t xml:space="preserve">, Wald and cluster bootstrap confidence intervals, resampling species (392 clusters) and provinces (31 clusters), 300 times each.</w:t>
      </w:r>
      <w:r>
        <w:t xml:space="preserve"> </w:t>
      </w:r>
      <w:r>
        <w:rPr>
          <w:b/>
          <w:bCs/>
        </w:rPr>
        <w:t xml:space="preserve">c</w:t>
      </w:r>
      <w:r>
        <w:t xml:space="preserve">, Actual coverage of the nominal 95% interval under a parametric bootstrap of 150 simulations from the fitted model, with the bias of each coefficient annotated.</w:t>
      </w:r>
      <w:r>
        <w:t xml:space="preserve"> </w:t>
      </w:r>
      <w:r>
        <w:rPr>
          <w:b/>
          <w:bCs/>
        </w:rPr>
        <w:t xml:space="preserve">d</w:t>
      </w:r>
      <w:r>
        <w:t xml:space="preserve">, Relative change in each hazard ratio when each province, and each of ten species deciles, is held out. Draws converging to degenerate optima (|log hazard ratio| &gt; 2) are excluded throughout; their number is 3 of 199 in the third null, 3 of 300 in the species bootstrap, and none elsewhere.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  <w:lnNumType w:countBy="1" w:start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2026-08-12T13:21:05Z</dcterms:created>
  <dcterms:modified xsi:type="dcterms:W3CDTF">2026-08-12T13:21:05Z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