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chenchen.ding@pku.edu.cn</w:t>
      </w:r>
    </w:p>
    <w:bookmarkStart w:id="9" w:name="abstract"/>
    <w:p>
      <w:pPr>
        <w:pStyle w:val="Heading2"/>
      </w:pPr>
      <w:r>
        <w:t xml:space="preserve">Abstract</w:t>
      </w:r>
    </w:p>
    <w:p>
      <w:pPr>
        <w:pStyle w:val="FirstParagraph"/>
      </w:pPr>
      <w:r>
        <w:t xml:space="preserve">New provincial and national distribution records are the raw material from which range shifts are inferred, yet a record is generated only when a species is present, someone is looking, and the observation is written up. Disentangling these components has proved difficult because the ecological and observational processes covary. Here we assemble a complete species × province × year risk set for 1,029 documented new bird records in China (2002–2024) and model the annual hazard that a species is newly recorded in a province using a discrete-time proportional-hazards formulation. We first show that the near-universal practice of dating such records to their year of publication is a systematic source of bias: publication lags the observation by a median of one year and a mean of 2.09 years, 81.7% of records lag by at least one year, and re-dating changes the year of 83.1% of events. Under publication-year dating, survey effort appears to raise the hazard by 79% per standard deviation and annual climate variability appears to suppress it; after re-dating, the effort coefficient falls by 37% and the variability effect vanishes entirely, while the accumulated-warming coefficient is unchanged. In the corrected analysis, accumulated warming relative to a species’ historical range (hazard ratio 1.36 per SD, 95% CI 1.22–1.52) and survey effort (1.40, 1.25–1.58) contribute comparably, and warming in fact discriminates slightly better between event and non-event cells than effort does. The two interact negatively (0.85, 0.76–0.95): warming matters most where survey coverage is sparse. Design-preserving permutation nulls place both effects outside their null distributions (</w:t>
      </w:r>
      <w:r>
        <w:rPr>
          <w:i/>
          <w:iCs/>
        </w:rPr>
        <w:t xml:space="preserve">P</w:t>
      </w:r>
      <w:r>
        <w:t xml:space="preserve"> </w:t>
      </w:r>
      <w:r>
        <w:t xml:space="preserve">= 0.005), but show that the warming null is centred on 1.16 rather than unity, so the increment attributable to species-specific referencing is about 1.18; the effort effect collapses to 0.98 once its temporal alignment with events is broken. A province-by-year random intercept, which isolates the observation process from the ecological one, raises conditional discrimination from 0.72 to 0.85 and conditional</w:t>
      </w:r>
      <w:r>
        <w:t xml:space="preserve"> </w:t>
      </w:r>
      <w:r>
        <w:rPr>
          <w:i/>
          <w:iCs/>
        </w:rPr>
        <w:t xml:space="preserve">R</w:t>
      </w:r>
      <w:r>
        <w:t xml:space="preserve">² from 0.27 to 0.41. Results are unchanged across three species-distribution-model thresholds, four survey-effort proxies, three missing-data rules and four accumulation windows. Projections under CMIP6 scenarios are constrained by a strict support diagnostic: beyond 2030, fewer than one tenth of species-province cells fall inside the fitted covariate range, so we report late-century surfaces as scenario illustrations rather than forecasts. Our results establish that documented range gains in a rapidly warming, rapidly digitising region reflect climate and observation in roughly equal measure, and that the date attached to a record determines which of the two appears to dominate.</w:t>
      </w:r>
    </w:p>
    <w:p>
      <w:pPr>
        <w:pStyle w:val="BodyText"/>
      </w:pPr>
      <w:r>
        <w:rPr>
          <w:b/>
          <w:bCs/>
        </w:rPr>
        <w:t xml:space="preserve">Keywords:</w:t>
      </w:r>
      <w:r>
        <w:t xml:space="preserve"> </w:t>
      </w:r>
      <w:r>
        <w:t xml:space="preserve">Wallacean shortfall; imperfect detection; range shift; discrete-time survival analysis; publication lag; citizen science; climate velocity; China</w:t>
      </w:r>
    </w:p>
    <w:p>
      <w:r>
        <w:pict>
          <v:rect style="width:0;height:1.5pt" o:hralign="center" o:hrstd="t" o:hr="t"/>
        </w:pict>
      </w:r>
    </w:p>
    <w:bookmarkEnd w:id="9"/>
    <w:bookmarkStart w:id="11"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This has been recognised for decades, and yet the inferential consequences remain incompletely handled in the literature on climate-driven range shifts</w:t>
      </w:r>
      <w:r>
        <w:rPr>
          <w:vertAlign w:val="superscript"/>
        </w:rPr>
        <w:t xml:space="preserve">5–8</w:t>
      </w:r>
      <w:r>
        <w:t xml:space="preserve">. When a species is reported for the first time from an administrative unit, the record is often read as evidence of range expansion; but the same record is equally consistent with a long-standing population that has only now been detected, or with a stable population in a region whose observer base has recently grown</w:t>
      </w:r>
      <w:r>
        <w:rPr>
          <w:vertAlign w:val="superscript"/>
        </w:rPr>
        <w:t xml:space="preserve">16,19–21</w:t>
      </w:r>
      <w:r>
        <w:t xml:space="preserve">. Distinguishing these possibilities is not a technical nicety. It determines whether a body of records constitutes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has expanded from a few thousand to hundreds of thousands of participants, and a national compilation of provincial-level new bird records now exists with dates of discovery as well as of publication</w:t>
      </w:r>
      <w:r>
        <w:rPr>
          <w:vertAlign w:val="superscript"/>
        </w:rPr>
        <w:t xml:space="preserve">9,25,37</w:t>
      </w:r>
      <w:r>
        <w:t xml:space="preserve">. The simultaneous expansion of the climatic and the observational signal is precisely what makes the attribution hard, and precisely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of such compilations use the latter, because it is the field that primary sources reliably report. We show below that this choice is consequential. Publication lag is not a small, random offset; it is a right-skewed delay with a mean above two years that, critically,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w:t>
      </w:r>
      <w:r>
        <w:rPr>
          <w:vertAlign w:val="superscript"/>
        </w:rPr>
        <w:t xml:space="preserve">55</w:t>
      </w:r>
      <w:r>
        <w:t xml:space="preserve">,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rStyle w:val="FootnoteReference"/>
        </w:rPr>
        <w:footnoteReference w:id="10"/>
      </w:r>
      <w:r>
        <w:t xml:space="preserve">^. We re-date every event to its year of discovery, correct the resulting right-censoring with an explicit reporting-completeness offset, treat structurally implausible zeros in the effort database as coverage gaps rather than true absences of observation, and add a province-by-year random intercept. We then quantify how much each of these corrections matters, using a step-by-step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w:t>
      </w:r>
    </w:p>
    <w:p>
      <w:pPr>
        <w:pStyle w:val="BodyText"/>
      </w:pPr>
      <w:r>
        <w:t xml:space="preserve">We hypothesised that effort would dominate, as reported previously</w:t>
      </w:r>
      <w:r>
        <w:rPr>
          <w:vertAlign w:val="superscript"/>
        </w:rPr>
        <w:t xml:space="preserve">10,37</w:t>
      </w:r>
      <w:r>
        <w:t xml:space="preserve">, and that the climate signal would be modest. Both expectations proved wrong in an informative way: effort dominance was largely an artefact of dating, and after correction the two drivers are of comparable importance.</w:t>
      </w:r>
    </w:p>
    <w:p>
      <w:r>
        <w:pict>
          <v:rect style="width:0;height:1.5pt" o:hralign="center" o:hrstd="t" o:hr="t"/>
        </w:pict>
      </w:r>
    </w:p>
    <w:bookmarkEnd w:id="11"/>
    <w:bookmarkStart w:id="25" w:name="results"/>
    <w:p>
      <w:pPr>
        <w:pStyle w:val="Heading2"/>
      </w:pPr>
      <w:r>
        <w:t xml:space="preserve">Results</w:t>
      </w:r>
    </w:p>
    <w:bookmarkStart w:id="1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(Extended Data Table 1).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dating conventions produce qualitatively different time series (Fig.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12"/>
    <w:bookmarkStart w:id="1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2c;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13"/>
    <w:bookmarkStart w:id="1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follow from the resampling analyses described below and should be carried through any reading of these effect sizes.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 Resampling species instead leaves the intervals essentially unchanged, so the species-level clustering is already absorbed by the random effects.</w:t>
      </w:r>
    </w:p>
    <w:p>
      <w:pPr>
        <w:pStyle w:val="BodyText"/>
      </w:pPr>
      <w:r>
        <w:t xml:space="preserve">Because standardised coefficients are hard to picture, we report both in natural units (Fig. 5c).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The sign of the climate variable is also informative: a negative value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(Fig. 5a,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4"/>
    <w:bookmarkStart w:id="1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(Fig. 4; Table 3).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it has the highest explanatory power, and every one of its terms has a direct ecological or observational reading — intrinsic species detectability, regional survey context, and the province-year shocks through which surveys, festivals and reporting channels actually operate. No variance component collapses in any structure (minimum standard deviation 0.274).</w:t>
      </w:r>
    </w:p>
    <w:bookmarkEnd w:id="15"/>
    <w:bookmarkStart w:id="16" w:name="Xe16357c9ebf971559ca89fe8eb908e744dbb52f"/>
    <w:p>
      <w:pPr>
        <w:pStyle w:val="Heading3"/>
      </w:pPr>
      <w:r>
        <w:t xml:space="preserve">What each level of the model means, and why it is there</w:t>
      </w:r>
    </w:p>
    <w:p>
      <w:pPr>
        <w:pStyle w:val="FirstParagraph"/>
      </w:pPr>
      <w:r>
        <w:t xml:space="preserve">Each random term corresponds to a distinct process, and the fitted magnitudes are themselves results (Fig. 5d, Fig. 6; Table 5).</w:t>
      </w:r>
    </w:p>
    <w:p>
      <w:pPr>
        <w:pStyle w:val="BodyText"/>
      </w:pPr>
      <w:r>
        <w:rPr>
          <w:i/>
          <w:iCs/>
        </w:rPr>
        <w:t xml:space="preserve">Species (SD 0.405).</w:t>
      </w:r>
      <w:r>
        <w:t xml:space="preserve"> </w:t>
      </w:r>
      <w:r>
        <w:t xml:space="preserve">Species differ in intrinsic detectability for reasons no covariate in the model captures: body size, song conspicuousness, habitat accessibility, population density and taxonomic attention. One standard deviation multiplies the hazard by 1.50, and the fitted species span a 3.7-fold range. Grouping the species intercepts by migratory strategy shows overlapping distributions with a modestly higher median for partial migrants than for residents or long-distance migrants (Fig. 6a), consistent with partial migrants combining range-edge mobility with the year-round observability that long-distance migrants lack.</w:t>
      </w:r>
    </w:p>
    <w:p>
      <w:pPr>
        <w:pStyle w:val="BodyText"/>
      </w:pPr>
      <w:r>
        <w:rPr>
          <w:i/>
          <w:iCs/>
        </w:rPr>
        <w:t xml:space="preserve">Province (SD 0.326).</w:t>
      </w:r>
      <w:r>
        <w:t xml:space="preserve"> </w:t>
      </w:r>
      <w:r>
        <w:t xml:space="preserve">Provinces differ in their baseline setting for discovery — area, terrain complexity, habitat diversity, observer population and regional research tradition. One standard deviation multiplies the hazard by 1.39 (Fig. 6b).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 6c).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 The magnitude of this component is the quantitative expression of the paper’s central caution: the biodiversity record moves for reasons that have nothing to do with the birds.</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16"/>
    <w:bookmarkStart w:id="17" w:name="Xf38245127daa17f58c79a23a62853ee4cbb15cc"/>
    <w:p>
      <w:pPr>
        <w:pStyle w:val="Heading3"/>
      </w:pPr>
      <w:r>
        <w:t xml:space="preserve">Migratory strategy shifts the baseline, not the drivers</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(Fig. 8; Table 6).</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(Fig. 8b).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(Fig. 8d).</w:t>
      </w:r>
    </w:p>
    <w:bookmarkEnd w:id="17"/>
    <w:bookmarkStart w:id="18" w:name="which-species-and-which-provinces"/>
    <w:p>
      <w:pPr>
        <w:pStyle w:val="Heading3"/>
      </w:pPr>
      <w:r>
        <w:t xml:space="preserve">Which species, and which provinces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(Fig. 9a,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(Fig. 9alt a, b; Table 9).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(Fig. 9c;</w:t>
      </w:r>
      <w:r>
        <w:t xml:space="preserve"> </w:t>
      </w:r>
      <w:r>
        <w:t xml:space="preserve">Table 7).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(Fig. 10a; Table 8).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(Fig. 10b).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(Fig. 10c).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8"/>
    <w:bookmarkStart w:id="19"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w:t>
      </w:r>
      <w:r>
        <w:t xml:space="preserve"> </w:t>
      </w:r>
      <w:r>
        <w:t xml:space="preserve">known range with equal frequency. They do not. Taking the bearing from the centroid of each</w:t>
      </w:r>
      <w:r>
        <w:t xml:space="preserve"> </w:t>
      </w:r>
      <w:r>
        <w:t xml:space="preserve">species’ BirdLife range to the record itself and binning into eight sectors, direction is far from</w:t>
      </w:r>
      <w:r>
        <w:t xml:space="preserve"> </w:t>
      </w:r>
      <w:r>
        <w:t xml:space="preserve">uniform (χ² = 580.1, df = 7,</w:t>
      </w:r>
      <w:r>
        <w:t xml:space="preserve"> </w:t>
      </w:r>
      <w:r>
        <w:rPr>
          <w:i/>
          <w:iCs/>
        </w:rPr>
        <w:t xml:space="preserve">P</w:t>
      </w:r>
      <w:r>
        <w:t xml:space="preserve"> </w:t>
      </w:r>
      <w:r>
        <w:t xml:space="preserve">= 4.6 × 10⁻¹²¹; Fig. 11). Two sectors are over-represented after</w:t>
      </w:r>
      <w:r>
        <w:t xml:space="preserve"> </w:t>
      </w:r>
      <w:r>
        <w:t xml:space="preserve">Holm correction: east holds 237 of 642 records (36.9%, against 80.2 expected) and northeast 179</w:t>
      </w:r>
      <w:r>
        <w:t xml:space="preserve"> </w:t>
      </w:r>
      <w:r>
        <w:t xml:space="preserve">(27.9%). South and west are nearly empty, with 20 and 19.</w:t>
      </w:r>
    </w:p>
    <w:p>
      <w:pPr>
        <w:pStyle w:val="BodyText"/>
      </w:pPr>
      <w:r>
        <w:t xml:space="preserve">The pattern is not carried by one taxon. Five of the well-sampled orders reject uniformity on</w:t>
      </w:r>
      <w:r>
        <w:t xml:space="preserve"> </w:t>
      </w:r>
      <w:r>
        <w:t xml:space="preserve">their own — Passeriformes (χ² = 376.6,</w:t>
      </w:r>
      <w:r>
        <w:t xml:space="preserve"> </w:t>
      </w:r>
      <w:r>
        <w:rPr>
          <w:i/>
          <w:iCs/>
        </w:rPr>
        <w:t xml:space="preserve">P</w:t>
      </w:r>
      <w:r>
        <w:t xml:space="preserve"> </w:t>
      </w:r>
      <w:r>
        <w:t xml:space="preserve">= 2.5 × 10⁻⁷⁷), Anseriformes (64.0), Accipitriformes</w:t>
      </w:r>
      <w:r>
        <w:t xml:space="preserve"> </w:t>
      </w:r>
      <w:r>
        <w:t xml:space="preserve">(52.5), Charadriiformes (45.5) and Columbiformes (29.1) — and in every case the significant</w:t>
      </w:r>
      <w:r>
        <w:t xml:space="preserve"> </w:t>
      </w:r>
      <w:r>
        <w:t xml:space="preserve">sectors are east, northeast or both.</w:t>
      </w:r>
    </w:p>
    <w:p>
      <w:pPr>
        <w:pStyle w:val="BodyText"/>
      </w:pPr>
      <w:r>
        <w:t xml:space="preserve">Two mechanisms are consistent with this and cannot be separated by these data. The eastern half of</w:t>
      </w:r>
      <w:r>
        <w:t xml:space="preserve"> </w:t>
      </w:r>
      <w:r>
        <w:t xml:space="preserve">China holds the great majority of the observer population, so a species’ range edge is far more</w:t>
      </w:r>
      <w:r>
        <w:t xml:space="preserve"> </w:t>
      </w:r>
      <w:r>
        <w:t xml:space="preserve">likely to be watched on its eastern than on its western side; this is the observational reading,</w:t>
      </w:r>
      <w:r>
        <w:t xml:space="preserve"> </w:t>
      </w:r>
      <w:r>
        <w:t xml:space="preserve">and it is the same asymmetry the province-by-year variance component captures. The ecological</w:t>
      </w:r>
      <w:r>
        <w:t xml:space="preserve"> </w:t>
      </w:r>
      <w:r>
        <w:t xml:space="preserve">reading is that eastern and north-eastern range margins are where suitable climate is expanding</w:t>
      </w:r>
      <w:r>
        <w:t xml:space="preserve"> </w:t>
      </w:r>
      <w:r>
        <w:t xml:space="preserve">fastest for a warming-tracking assemblage. The companion mammal study found a northward and</w:t>
      </w:r>
      <w:r>
        <w:t xml:space="preserve"> </w:t>
      </w:r>
      <w:r>
        <w:t xml:space="preserve">eastward bias on the same reasoning. That birds show an eastward rather than a northward bias is</w:t>
      </w:r>
      <w:r>
        <w:t xml:space="preserve"> </w:t>
      </w:r>
      <w:r>
        <w:t xml:space="preserve">itself informative: China’s observer gradient runs west-to-east, not south-to-north, which tilts</w:t>
      </w:r>
      <w:r>
        <w:t xml:space="preserve"> </w:t>
      </w:r>
      <w:r>
        <w:t xml:space="preserve">the balance of the two explanations toward the observational one for this taxon.</w:t>
      </w:r>
    </w:p>
    <w:bookmarkEnd w:id="19"/>
    <w:bookmarkStart w:id="20"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6d).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20"/>
    <w:bookmarkStart w:id="21" w:name="robustness"/>
    <w:p>
      <w:pPr>
        <w:pStyle w:val="Heading3"/>
      </w:pPr>
      <w:r>
        <w:t xml:space="preserve">Robustness</w:t>
      </w:r>
    </w:p>
    <w:p>
      <w:pPr>
        <w:pStyle w:val="FirstParagraph"/>
      </w:pPr>
      <w:r>
        <w:t xml:space="preserve">The conclusions do not depend on any freely chosen analytical decision (Fig. 3).</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(Fig. 7).</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(Fig. 7a).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(Extended Data Table 2)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(Fig. 7b), and the interaction is negative throughout (0.87–1.00; Fig. 7c).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21"/>
    <w:bookmarkStart w:id="22" w:name="model-adequacy"/>
    <w:p>
      <w:pPr>
        <w:pStyle w:val="Heading3"/>
      </w:pPr>
      <w:r>
        <w:t xml:space="preserve">Model adequacy</w:t>
      </w:r>
    </w:p>
    <w:p>
      <w:pPr>
        <w:pStyle w:val="FirstParagraph"/>
      </w:pPr>
      <w:r>
        <w:t xml:space="preserve">Simulation-based residual diagnostics indicate a well-calibrated model (Extended Data Fig. 1; Table 4).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(Extended Data Fig. 5).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22"/>
    <w:bookmarkStart w:id="23"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M4b).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(Fig. M1). Applied without the mask, the same model produces ratios up to 78 (Extended Data Fig. 3).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(Fig. M3), consistent with the mechanistic coefficients.</w:t>
      </w:r>
    </w:p>
    <w:bookmarkEnd w:id="23"/>
    <w:bookmarkStart w:id="24"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(Fig. P1).</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(Fig. P2).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(Fig. P3a).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24"/>
    <w:bookmarkEnd w:id="25"/>
    <w:bookmarkStart w:id="27"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 provincial, national, or regional —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reflecting how strongly the observation process varies in space and time.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survey effort is low. Two readings are consistent with the data and are not mutually exclusive.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Distinguishing them will require data on detection probability conditional on presence, which provincial compilations do not provide.</w:t>
      </w:r>
    </w:p>
    <w:p>
      <w:pPr>
        <w:pStyle w:val="BodyText"/>
      </w:pPr>
      <w:r>
        <w:rPr>
          <w:b/>
          <w:bCs/>
        </w:rPr>
        <w:t xml:space="preserve">Projection is limited by covariate support, not by scenario availability.</w:t>
      </w:r>
      <w:r>
        <w:t xml:space="preserve"> </w:t>
      </w:r>
      <w:r>
        <w:t xml:space="preserve">It is straightforward to push a fitted hazard model through CMIP6 surfaces to 2080 and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w:t>
      </w:r>
      <w:r>
        <w:rPr>
          <w:rStyle w:val="FootnoteReference"/>
        </w:rPr>
        <w:footnoteReference w:id="26"/>
      </w:r>
      <w:r>
        <w:t xml:space="preserve">^.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Three practical points follow. First, the province-by-year variance component identifies where monitoring investment changes what is documented: a single province-year shock of one standard deviation multiplies the hazard by 2.2, more than either driver at one standard deviation. Targeted survey campaigns therefore have large and immediate effects on the biodiversity record, which is a reason to allocate them deliberately rather than opportunistically. Second, the negative interaction implies that survey effort added to under-covered, climatically dynamic provinces yields more new documentation per unit effort than the same investment in well-covered provinces — a straightforward prioritisation rule. Third, because the marginal return of effort has declined measurably within two decades, monitoring programmes should expect diminishing returns in new-record generation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p>
      <w:r>
        <w:pict>
          <v:rect style="width:0;height:1.5pt" o:hralign="center" o:hrstd="t" o:hr="t"/>
        </w:pict>
      </w:r>
    </w:p>
    <w:bookmarkEnd w:id="27"/>
    <w:bookmarkStart w:id="28"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8"/>
    <w:bookmarkStart w:id="41" w:name="methods"/>
    <w:p>
      <w:pPr>
        <w:pStyle w:val="Heading2"/>
      </w:pPr>
      <w:r>
        <w:t xml:space="preserve">Methods</w:t>
      </w:r>
    </w:p>
    <w:bookmarkStart w:id="29"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9"/>
    <w:bookmarkStart w:id="30"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30"/>
    <w:bookmarkStart w:id="31"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31"/>
    <w:bookmarkStart w:id="32"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2"/>
    <w:bookmarkStart w:id="33"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3"/>
    <w:bookmarkStart w:id="35"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rStyle w:val="FootnoteReference"/>
        </w:rPr>
        <w:footnoteReference w:id="34"/>
      </w:r>
      <w:r>
        <w:t xml:space="preserve">,55^:</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5"/>
    <w:bookmarkStart w:id="36"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6"/>
    <w:bookmarkStart w:id="38" w:name="diagnostics"/>
    <w:p>
      <w:pPr>
        <w:pStyle w:val="Heading3"/>
      </w:pPr>
      <w:r>
        <w:t xml:space="preserve">Diagnostics</w:t>
      </w:r>
    </w:p>
    <w:p>
      <w:pPr>
        <w:pStyle w:val="FirstParagraph"/>
      </w:pPr>
      <w:r>
        <w:t xml:space="preserve">Residual diagnostics used simulation-based scaled residuals with 500 simulations</w:t>
      </w:r>
      <w:r>
        <w:rPr>
          <w:rStyle w:val="FootnoteReference"/>
        </w:rPr>
        <w:footnoteReference w:id="37"/>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8"/>
    <w:bookmarkStart w:id="3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39"/>
    <w:bookmarkStart w:id="40"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A1,A2</w:t>
      </w:r>
    </w:p>
  </w:footnote>
  <w:footnote w:id="26">
    <w:p>
      <w:pPr>
        <w:pStyle w:val="FootnoteText"/>
      </w:pPr>
      <w:r>
        <w:rPr>
          <w:rStyle w:val="FootnoteReference"/>
        </w:rPr>
        <w:footnoteRef/>
      </w:r>
      <w:r>
        <w:t xml:space="preserve"> </w:t>
      </w:r>
      <w:r>
        <w:t xml:space="preserve">A3–A5</w:t>
      </w:r>
    </w:p>
  </w:footnote>
  <w:footnote w:id="34">
    <w:p>
      <w:pPr>
        <w:pStyle w:val="FootnoteText"/>
      </w:pPr>
      <w:r>
        <w:rPr>
          <w:rStyle w:val="FootnoteReference"/>
        </w:rPr>
        <w:footnoteRef/>
      </w:r>
      <w:r>
        <w:t xml:space="preserve"> </w:t>
      </w:r>
      <w:r>
        <w:t xml:space="preserve">A1,A2</w:t>
      </w:r>
    </w:p>
  </w:footnote>
  <w:footnote w:id="37">
    <w:p>
      <w:pPr>
        <w:pStyle w:val="FootnoteText"/>
      </w:pPr>
      <w:r>
        <w:rPr>
          <w:rStyle w:val="FootnoteReference"/>
        </w:rPr>
        <w:footnoteRef/>
      </w:r>
      <w:r>
        <w:t xml:space="preserve"> </w:t>
      </w:r>
      <w:r>
        <w:t xml:space="preserve">A6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2026-09-24T08:46:36Z</dcterms:created>
  <dcterms:modified xsi:type="dcterms:W3CDTF">2026-09-24T08:46:36Z</dcterms:modified>
</cp:coreProperties>
</file>