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Step-by-step decomposition from the previously published specification to the corrected main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Step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Change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n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Events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HR effort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HR warming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HR variability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HR interaction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previously published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182,485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655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1.788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1.394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0.850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0.876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+ discovery-year dating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181,134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646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1.305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1.437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0.971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0.859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+ coverage-gap effort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175,686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638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1.267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1.432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0.958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0.863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+ area-weighted climate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175,901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649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1.289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1.432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0.958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0.863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+ completeness offset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175,901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649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1.448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1.428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0.962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0.862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+ province × year effect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175,901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649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1.404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1.362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0.995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0.849</w:t>
            </w:r>
          </w:p>
        </w:tc>
      </w:tr>
    </w:tbl>
    <w:p>
      <w:pPr>
        <w:pStyle w:val="BodyText"/>
        <w:pageBreakBefore/>
      </w:pPr>
      <w:r>
        <w:rPr>
          <w:b/>
          <w:bCs/>
        </w:rPr>
        <w:t xml:space="preserve">Table 2.</w:t>
      </w:r>
      <w:r>
        <w:t xml:space="preserve"> </w:t>
      </w:r>
      <w:r>
        <w:t xml:space="preserve">Main model. Discrete-time proportional hazards, complementary log-log link;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175,901; 649 events; 392 species; 31 provinces; AIC 8,313.2. Cluster bootstrap: 300 resamples of provinces. Permutation null medians are from the strongest constrained null (N3, events shuffled among the species at risk within each province-year) for the climate terms and the interaction, and from N2 (effort shuffled across years within province) for effort; 199 permutations each. Because these nulls preserve the provincial-annual structure, their medians rather than unity are the correct reference for the corresponding effect sizes.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Term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HR per SD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95% CI (Wald)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95% CI (province cluster bootstrap)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Permutation null median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Accumulated warming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1.362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1.216–1.524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1.20–1.72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1.157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8.3 × 10⁻⁸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Survey effort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1.404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1.245–1.583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1.21–1.76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0.980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2.9 × 10⁻⁸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Annual climate variability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0.995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0.909–1.090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0.90–1.13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0.955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Warming × effort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0.849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0.761–0.948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0.74–0.99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0.955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3.7 × 10⁻³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σ species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0.405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σ province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0.326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σ province × year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0.804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</w:tr>
    </w:tbl>
    <w:p>
      <w:pPr>
        <w:pStyle w:val="BodyText"/>
        <w:pageBreakBefore/>
      </w:pPr>
      <w:r>
        <w:rPr>
          <w:b/>
          <w:bCs/>
        </w:rPr>
        <w:t xml:space="preserve">Table 3.</w:t>
      </w:r>
      <w:r>
        <w:t xml:space="preserve"> </w:t>
      </w:r>
      <w:r>
        <w:t xml:space="preserve">Random-effect structure comparison on four criteria.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Structure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ΔAIC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McFadden</w:t>
            </w:r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R</w:t>
            </w:r>
            <w:r>
              <w:rPr>
                <w:rFonts w:ascii="Times New Roman" w:hAnsi="Times New Roman"/>
                <w:b/>
                <w:sz w:val="18"/>
              </w:rPr>
              <w:t xml:space="preserve">²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Marginal</w:t>
            </w:r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R</w:t>
            </w:r>
            <w:r>
              <w:rPr>
                <w:rFonts w:ascii="Times New Roman" w:hAnsi="Times New Roman"/>
                <w:b/>
                <w:sz w:val="18"/>
              </w:rPr>
              <w:t xml:space="preserve">²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Conditional</w:t>
            </w:r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R</w:t>
            </w:r>
            <w:r>
              <w:rPr>
                <w:rFonts w:ascii="Times New Roman" w:hAnsi="Times New Roman"/>
                <w:b/>
                <w:sz w:val="18"/>
              </w:rPr>
              <w:t xml:space="preserve">²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Marginal AUC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Conditional AUC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ICC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species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163.1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0.0142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0.108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0.183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0.613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0.687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0.084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species + province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98.7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0.0220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0.124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0.274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0.612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0.721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0.172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+ year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74.8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0.0250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0.069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0.277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0.607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0.737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0.224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+ province × year (main)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5.25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0.0331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0.082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0.411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0.612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0.854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0.358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+ species warming slope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4.48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0.0334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0.080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0.403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0.612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0.865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0.351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+ province effort slope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0.0339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0.082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0.395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0.611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0.852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0.341</w:t>
            </w:r>
          </w:p>
        </w:tc>
      </w:tr>
    </w:tbl>
    <w:p>
      <w:pPr>
        <w:pStyle w:val="BodyText"/>
        <w:pageBreakBefore/>
      </w:pPr>
      <w:r>
        <w:rPr>
          <w:b/>
          <w:bCs/>
        </w:rPr>
        <w:t xml:space="preserve">Table 4.</w:t>
      </w:r>
      <w:r>
        <w:t xml:space="preserve"> </w:t>
      </w:r>
      <w:r>
        <w:t xml:space="preserve">Model adequacy.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Check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Statistic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P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Reading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KS uniformity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0.0016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0.74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calibrated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Dispersion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0.947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0.59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correct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Zero inflation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1.000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0.59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none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Outliers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95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&lt; 0.001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expected at 0.37% event rate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Grouped by year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 of 23 levels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0.0018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at nominal rate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Grouped by province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 of 31 levels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0.024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at nominal rate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Moran’s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I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−0.038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no spatial structure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PH: warming × time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−0.022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assumption holds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PH: effort × time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−0.211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7.7 × 10⁻⁴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effort returns decline</w:t>
            </w:r>
          </w:p>
        </w:tc>
      </w:tr>
    </w:tbl>
    <w:p>
      <w:pPr>
        <w:pStyle w:val="BodyText"/>
        <w:pageBreakBefore/>
      </w:pPr>
      <w:r>
        <w:rPr>
          <w:b/>
          <w:bCs/>
        </w:rPr>
        <w:t xml:space="preserve">Table 5.</w:t>
      </w:r>
      <w:r>
        <w:t xml:space="preserve"> </w:t>
      </w:r>
      <w:r>
        <w:t xml:space="preserve">Ecological rationale for every component of the main model. Each row states why the</w:t>
      </w:r>
      <w:r>
        <w:t xml:space="preserve"> </w:t>
      </w:r>
      <w:r>
        <w:t xml:space="preserve">component is in the model, what its estimate means, and one falsifiable prediction the</w:t>
      </w:r>
      <w:r>
        <w:t xml:space="preserve"> </w:t>
      </w:r>
      <w:r>
        <w:t xml:space="preserve">specification implies. All predictions are tested in the paper. The full version, with the</w:t>
      </w:r>
      <w:r>
        <w:t xml:space="preserve"> </w:t>
      </w:r>
      <w:r>
        <w:t xml:space="preserve">prediction column, is</w:t>
      </w:r>
      <w:r>
        <w:t xml:space="preserve"> </w:t>
      </w:r>
      <w:r>
        <w:rPr>
          <w:rStyle w:val="VerbatimChar"/>
        </w:rPr>
        <w:t xml:space="preserve">tables/tbl_v2_ecological_rationale.csv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docs/ECOLOGICAL_RATIONALE.md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Component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Why it is in the model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What the estimate means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Response: first record only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 species-province pair can acquire a first record once; treating re-documentation as new information would inflate the event count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The annual probability of crossing from undocumented to documented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cloglog link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Discrete-time analogue of proportional hazards; coefficients are hazard ratios and do not depend on the length of the time step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exp(β) is directly comparable with survival-analysis literature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Risk set with absorbing exit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Only species whose modelled range approaches a province are plausible candidates; pairs recorded before 2002 are prevalent, not incident, cases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Hazard conditional on being a plausible, not-yet-recorded candidate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Accumulated warming,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W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= 15 yr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Range boundaries integrate climate over years to decades; referencing to the species’ own range is essential because absolute warming is near-uniform across China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HR 1.362 per 0.179 °C of province-minus-range warming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Annual variability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Separates decadal signal from year-to-year weather, so neither term can absorb the other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HR 0.995: weather in the discovery year adds nothing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Survey effort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 species can only be recorded where someone is looking; required for the climate coefficient to be interpretable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HR 1.404 per 1 SD; one SD multiplies annual visits by 7.75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Warming × effort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Sparsely surveyed provinces are disproportionately montane with steep climatic gradients, and densely surveyed ones have already absorbed much of their Wallacean shortfall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HR 0.849: warming matters most where coverage is sparse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Offset log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c</w:t>
            </w:r>
            <w:r>
              <w:rPr>
                <w:rFonts w:ascii="Times New Roman" w:hAnsi="Times New Roman"/>
                <w:sz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t</w:t>
            </w:r>
            <w:r>
              <w:rPr>
                <w:rFonts w:ascii="Times New Roman" w:hAnsi="Times New Roman"/>
                <w:sz w:val="18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Records enter only after publication, so recent years are under-represented; under incomplete reporting this is exactly an offset, not an approximation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Corrects for right-censoring without consuming a degree of freedom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(1|species), SD 0.405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Body size, song conspicuousness, habitat accessibility, density and taxonomic attention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×1.50 per SD; species span a 3.7-fold range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(1|province), SD 0.326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Area, terrain complexity, habitat diversity, observer population, research tradition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×1.39 per SD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(1|province:year), SD 0.804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The scale at which the observation process operates: regional campaigns, festivals, new reserves, local reporting channels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×2.23 per SD, larger than either fixed effect; levels span 13-fold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Baseline 1980–2000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Must end before the analysis period, or part of the warming being tested is written into the reference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Anomalies measured against the most recent non-overlapping period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  <w:pageBreakBefore/>
      </w:pPr>
      <w:r>
        <w:rPr>
          <w:b/>
          <w:bCs/>
        </w:rPr>
        <w:t xml:space="preserve">Table 6.</w:t>
      </w:r>
      <w:r>
        <w:t xml:space="preserve"> </w:t>
      </w:r>
      <w:r>
        <w:t xml:space="preserve">Migratory stratification. Full results in</w:t>
      </w:r>
      <w:r>
        <w:t xml:space="preserve"> </w:t>
      </w:r>
      <w:r>
        <w:rPr>
          <w:rStyle w:val="VerbatimChar"/>
        </w:rPr>
        <w:t xml:space="preserve">tables/tbl_v2_migratory_ladder.csv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tbl_v2_migratory_stratified.csv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tbl_v2_migratory_interaction_by_group.csv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Group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Events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Warming HR (95% CI)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Effort HR (95% CI)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Warming × effort HR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Resident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218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1.363 (1.158–1.605)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1.293 (1.110–1.506)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0.942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0.54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Partial migrant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156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1.507 (1.244–1.826)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1.270 (1.030–1.566)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1.053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0.62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Long-distance migrant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175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1.514 (1.265–1.812)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1.344 (1.130–1.598)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0.753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0.0022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Moderation tests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LR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= 0.693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LR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= 0.854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three-way LR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= 0.256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</w:tr>
    </w:tbl>
    <w:p>
      <w:pPr>
        <w:pStyle w:val="BodyText"/>
        <w:pageBreakBefore/>
      </w:pPr>
      <w:r>
        <w:rPr>
          <w:b/>
          <w:bCs/>
        </w:rPr>
        <w:t xml:space="preserve">Table 7.</w:t>
      </w:r>
      <w:r>
        <w:t xml:space="preserve"> </w:t>
      </w:r>
      <w:r>
        <w:t xml:space="preserve">Species-level range measures, all from phylogenetic logistic regression on the dated</w:t>
      </w:r>
      <w:r>
        <w:t xml:space="preserve"> </w:t>
      </w:r>
      <w:r>
        <w:t xml:space="preserve">tree. Full results in</w:t>
      </w:r>
      <w:r>
        <w:t xml:space="preserve"> </w:t>
      </w:r>
      <w:r>
        <w:rPr>
          <w:rStyle w:val="VerbatimChar"/>
        </w:rPr>
        <w:t xml:space="preserve">tables/tbl_v2_species_range_measures.csv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tbl_v2_species_range_circularity.csv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Measure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n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Species with a record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OR per SD (95% CI)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Global range area (AVONET)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1,298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334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1.456 (1.204–1.762)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1.1 × 10⁻⁴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China range area (BirdLife, clipped)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1,003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312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1.653 (1.420–1.925)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9.0 × 10⁻¹¹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Provinces occupied —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not reported as a result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1,298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334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2.09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5 × 10⁻¹⁵</w:t>
            </w:r>
          </w:p>
        </w:tc>
      </w:tr>
    </w:tbl>
    <w:p>
      <w:pPr>
        <w:pStyle w:val="BodyText"/>
        <w:pageBreakBefore/>
      </w:pPr>
      <w:r>
        <w:rPr>
          <w:b/>
          <w:bCs/>
        </w:rPr>
        <w:t xml:space="preserve">Table 8.</w:t>
      </w:r>
      <w:r>
        <w:t xml:space="preserve"> </w:t>
      </w:r>
      <w:r>
        <w:t xml:space="preserve">Province-level models. Full results in</w:t>
      </w:r>
      <w:r>
        <w:t xml:space="preserve"> </w:t>
      </w:r>
      <w:r>
        <w:rPr>
          <w:rStyle w:val="VerbatimChar"/>
        </w:rPr>
        <w:t xml:space="preserve">tables/tbl_v2_province_*.csv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Model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Dispersion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P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AICc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Poisson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5.60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2.3 × 10⁻¹⁷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302.2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Negative binomial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0.20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246.5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Negative binomial, recent effort as offset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1.52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266.8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Term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Counts, IRR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Rate per unit of effort, IRR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Regional species richness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1.27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= 0.036)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0.89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Early survey effort (2002–2008)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0.92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0.71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= 0.028)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Recent survey effort (2009–2024)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i/>
                <w:iCs/>
                <w:sz w:val="18"/>
              </w:rPr>
              <w:t xml:space="preserve">offset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GDP per capita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1.10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sz w:val="18"/>
              </w:rPr>
              <w:t xml:space="preserve">0.61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= 0.0027)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Administrative area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1.17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1.20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Habitat heterogeneity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0.99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1.03</w:t>
            </w:r>
          </w:p>
        </w:tc>
      </w:tr>
    </w:tbl>
    <w:p>
      <w:pPr>
        <w:pStyle w:val="BodyText"/>
        <w:pageBreakBefore/>
      </w:pPr>
      <w:r>
        <w:rPr>
          <w:b/>
          <w:bCs/>
        </w:rPr>
        <w:t xml:space="preserve">Table 9.</w:t>
      </w:r>
      <w:r>
        <w:t xml:space="preserve"> </w:t>
      </w:r>
      <w:r>
        <w:t xml:space="preserve">Species-level effects fitted separately within taxonomic and migratory groups, all</w:t>
      </w:r>
      <w:r>
        <w:t xml:space="preserve"> </w:t>
      </w:r>
      <w:r>
        <w:t xml:space="preserve">from phylogenetic logistic regression on the dated tree. Only significant terms are shown; full</w:t>
      </w:r>
      <w:r>
        <w:t xml:space="preserve"> </w:t>
      </w:r>
      <w:r>
        <w:t xml:space="preserve">results in</w:t>
      </w:r>
      <w:r>
        <w:t xml:space="preserve"> </w:t>
      </w:r>
      <w:r>
        <w:rPr>
          <w:rStyle w:val="VerbatimChar"/>
        </w:rPr>
        <w:t xml:space="preserve">tables/tbl_v2_species_group_effects.csv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Grouping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Group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n</w:t>
            </w:r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sz w:val="18"/>
              </w:rPr>
              <w:t xml:space="preserve">species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With records</w:t>
            </w:r>
          </w:p>
        </w:tc>
        <w:tc>
          <w:tcPr>
            <w:vAlign w:val="center"/>
            <w:tcBorders>
              <w:bottom w:val="single" w:sz="4" w:color="auto"/>
            </w:tcBorders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 xml:space="preserve">Significant terms (OR,</w:t>
            </w:r>
            <w:r>
              <w:rPr>
                <w:rFonts w:ascii="Times New Roman" w:hAnsi="Times New Roman"/>
                <w:b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i/>
                <w:iCs/>
                <w:sz w:val="18"/>
              </w:rPr>
              <w:t xml:space="preserve">P</w:t>
            </w:r>
            <w:r>
              <w:rPr>
                <w:rFonts w:ascii="Times New Roman" w:hAnsi="Times New Roman"/>
                <w:b/>
                <w:sz w:val="18"/>
              </w:rPr>
              <w:t xml:space="preserve">)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Taxonomic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Passeriformes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710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203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Range size 1.53 (0.0020); partial migrant 2.01 (0.0081)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Non-passerines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588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131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Partial migrant 3.19 (3.3 × 10⁻⁴)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All species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1,298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334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Range size 1.44; partial migrant 1.91; open habitat 0.55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Migratory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Resident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567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116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Range size 1.60 (0.0042)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Partial migrant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228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91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Granivore 0.28 (0.044)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line="240" w:lineRule="auto" w:after="0"/>
            </w:pP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Migratory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503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127</w:t>
            </w:r>
          </w:p>
        </w:tc>
        <w:tc>
          <w:tcPr>
            <w:vAlign w:val="center"/>
          </w:tcPr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 xml:space="preserve">Hand-wing index 0.51 (3.8 × 10⁻⁴); body mass 1.74 (0.0037); open habitat 0.42 (0.013)</w:t>
            </w:r>
          </w:p>
        </w:tc>
      </w:tr>
    </w:tbl>
    <w:bookmarkEnd w:id="9"/>
    <w:bookmarkStart w:id="10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Fig. 1 | Survey effort and accumulated warming contribute comparably to the hazard of a new provincial record.</w:t>
      </w:r>
      <w:r>
        <w:t xml:space="preserve"> </w:t>
      </w:r>
      <w:r>
        <w:rPr>
          <w:b/>
          <w:bCs/>
        </w:rPr>
        <w:t xml:space="preserve">a</w:t>
      </w:r>
      <w:r>
        <w:t xml:space="preserve">, Hazard ratios per standard deviation with 95% Wald confidence intervals, for the four fixed effects, at three species-distribution-model thresholds. The dashed line marks unity. Note that unity is not the appropriate null for the warming terms: design-preserving permutation nulls that retain the provincial-annual climate and event structure are centred on 1.16 for accumulated warming and 0.96 for the interaction (Extended Data Fig. 5a), so the increment attributable to species-specific referencing is smaller than the distance from unity suggests.</w:t>
      </w:r>
      <w:r>
        <w:t xml:space="preserve"> </w:t>
      </w:r>
      <w:r>
        <w:rPr>
          <w:b/>
          <w:bCs/>
        </w:rPr>
        <w:t xml:space="preserve">b</w:t>
      </w:r>
      <w:r>
        <w:t xml:space="preserve">, Marginal predictions of the annual hazard against accumulated warming at the 10th, 50th and 90th percentiles of survey effort; ribbons are 95% confidence intervals on the fixed-effect linear predictor.</w:t>
      </w:r>
      <w:r>
        <w:t xml:space="preserve"> </w:t>
      </w:r>
      <w:r>
        <w:rPr>
          <w:b/>
          <w:bCs/>
        </w:rPr>
        <w:t xml:space="preserve">c</w:t>
      </w:r>
      <w:r>
        <w:t xml:space="preserve">, Relative importance of each term under four independent criteria: loss of AIC, loss of fixed-effect AUC, loss of conditional</w:t>
      </w:r>
      <w:r>
        <w:t xml:space="preserve"> </w:t>
      </w:r>
      <w:r>
        <w:rPr>
          <w:i/>
          <w:iCs/>
        </w:rPr>
        <w:t xml:space="preserve">R</w:t>
      </w:r>
      <w:r>
        <w:t xml:space="preserve">², and the absolute standardised coefficient. Larger values indicate greater importance.</w:t>
      </w:r>
      <w:r>
        <w:t xml:space="preserve"> </w:t>
      </w:r>
      <w:r>
        <w:rPr>
          <w:b/>
          <w:bCs/>
        </w:rPr>
        <w:t xml:space="preserve">d</w:t>
      </w:r>
      <w:r>
        <w:t xml:space="preserve">, Discrimination attributable to fixed effects alone as terms are added, with the random structure held at the main model.</w:t>
      </w:r>
    </w:p>
    <w:p>
      <w:pPr>
        <w:pStyle w:val="BodyText"/>
      </w:pPr>
      <w:r>
        <w:rPr>
          <w:b/>
          <w:bCs/>
        </w:rPr>
        <w:t xml:space="preserve">Fig. 2 | Dating records to publication rather than to discovery is a systematic source of bias.</w:t>
      </w:r>
      <w:r>
        <w:t xml:space="preserve"> </w:t>
      </w:r>
      <w:r>
        <w:rPr>
          <w:b/>
          <w:bCs/>
        </w:rPr>
        <w:t xml:space="preserve">a</w:t>
      </w:r>
      <w:r>
        <w:t xml:space="preserve">, Distribution of the delay between discovery and publication (bars, left axis as per cent of records) and the resulting reporting completeness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t</w:t>
      </w:r>
      <w:r>
        <w:t xml:space="preserve">) implied by a compilation extending to 2025 publications (line).</w:t>
      </w:r>
      <w:r>
        <w:t xml:space="preserve"> </w:t>
      </w:r>
      <w:r>
        <w:rPr>
          <w:b/>
          <w:bCs/>
        </w:rPr>
        <w:t xml:space="preserve">b</w:t>
      </w:r>
      <w:r>
        <w:t xml:space="preserve">, Annual counts of new provincial records under the two dating conventions. The shaded band marks years in which the discovery-year series is right-censored because the corresponding papers have not yet appeared.</w:t>
      </w:r>
      <w:r>
        <w:t xml:space="preserve"> </w:t>
      </w:r>
      <w:r>
        <w:rPr>
          <w:b/>
          <w:bCs/>
        </w:rPr>
        <w:t xml:space="preserve">c</w:t>
      </w:r>
      <w:r>
        <w:t xml:space="preserve">, Hazard ratios for the four fixed effects across the five-step decomposition from the previously published specification (S0) to the corrected main model (S5). The shaded column marks the re-dating step.</w:t>
      </w:r>
    </w:p>
    <w:p>
      <w:pPr>
        <w:pStyle w:val="BodyText"/>
      </w:pPr>
      <w:r>
        <w:rPr>
          <w:b/>
          <w:bCs/>
        </w:rPr>
        <w:t xml:space="preserve">Fig. 3 | The result does not depend on any freely chosen analytical decision.</w:t>
      </w:r>
      <w:r>
        <w:t xml:space="preserve"> </w:t>
      </w:r>
      <w:r>
        <w:rPr>
          <w:b/>
          <w:bCs/>
        </w:rPr>
        <w:t xml:space="preserve">a</w:t>
      </w:r>
      <w:r>
        <w:t xml:space="preserve">, Hazard ratio for accumulated warming across four climate indicators and four accumulation windows; asterisks denote significance.</w:t>
      </w:r>
      <w:r>
        <w:t xml:space="preserve"> </w:t>
      </w:r>
      <w:r>
        <w:rPr>
          <w:b/>
          <w:bCs/>
        </w:rPr>
        <w:t xml:space="preserve">b</w:t>
      </w:r>
      <w:r>
        <w:t xml:space="preserve">, ΔAIC across the same grid, all cells fitted on identical rows.</w:t>
      </w:r>
      <w:r>
        <w:t xml:space="preserve"> </w:t>
      </w:r>
      <w:r>
        <w:rPr>
          <w:b/>
          <w:bCs/>
        </w:rPr>
        <w:t xml:space="preserve">c</w:t>
      </w:r>
      <w:r>
        <w:t xml:space="preserve">, Hazard ratios for survey effort (triangles) and accumulated warming (circles) across four effort proxies and three treatments of the 24 implausible zero cells. AIC is not comparable across missing-data rules because the sample sizes differ, so only coefficients are shown.</w:t>
      </w:r>
    </w:p>
    <w:p>
      <w:pPr>
        <w:pStyle w:val="BodyText"/>
      </w:pPr>
      <w:r>
        <w:rPr>
          <w:b/>
          <w:bCs/>
        </w:rPr>
        <w:t xml:space="preserve">Fig. 4 | Random-effect structures evaluated on fit, explanatory power, variance structure and ecological meaning.</w:t>
      </w:r>
      <w:r>
        <w:t xml:space="preserve"> </w:t>
      </w:r>
      <w:r>
        <w:rPr>
          <w:b/>
          <w:bCs/>
        </w:rPr>
        <w:t xml:space="preserve">a</w:t>
      </w:r>
      <w:r>
        <w:t xml:space="preserve">, ΔAIC; the main model is highlighted.</w:t>
      </w:r>
      <w:r>
        <w:t xml:space="preserve"> </w:t>
      </w:r>
      <w:r>
        <w:rPr>
          <w:b/>
          <w:bCs/>
        </w:rPr>
        <w:t xml:space="preserve">b</w:t>
      </w:r>
      <w:r>
        <w:t xml:space="preserve">, Conditional</w:t>
      </w:r>
      <w:r>
        <w:t xml:space="preserve"> </w:t>
      </w:r>
      <w:r>
        <w:rPr>
          <w:i/>
          <w:iCs/>
        </w:rPr>
        <w:t xml:space="preserve">R</w:t>
      </w:r>
      <w:r>
        <w:t xml:space="preserve">², conditional AUC and marginal AUC. Marginal AUC is flat across structures, confirming that the random terms absorb observational heterogeneity without redistributing the fixed-effect signal.</w:t>
      </w:r>
      <w:r>
        <w:t xml:space="preserve"> </w:t>
      </w:r>
      <w:r>
        <w:rPr>
          <w:b/>
          <w:bCs/>
        </w:rPr>
        <w:t xml:space="preserve">c</w:t>
      </w:r>
      <w:r>
        <w:t xml:space="preserve">, Random-effect standard deviations on the latent scale; no component collapses in any structure.</w:t>
      </w:r>
    </w:p>
    <w:p>
      <w:pPr>
        <w:pStyle w:val="BodyText"/>
      </w:pPr>
      <w:r>
        <w:rPr>
          <w:b/>
          <w:bCs/>
        </w:rPr>
        <w:t xml:space="preserve">Fig. 5 | Anatomy of the model, in units a reader can picture.</w:t>
      </w:r>
      <w:r>
        <w:t xml:space="preserve"> </w:t>
      </w:r>
      <w:r>
        <w:rPr>
          <w:b/>
          <w:bCs/>
        </w:rPr>
        <w:t xml:space="preserve">a</w:t>
      </w:r>
      <w:r>
        <w:t xml:space="preserve">, Construction of the species-referenced climate gradient, shown as 15-year trailing means for one province and two species. Yunnan has warmed more than the Chinese range of</w:t>
      </w:r>
      <w:r>
        <w:t xml:space="preserve"> </w:t>
      </w:r>
      <w:r>
        <w:rPr>
          <w:i/>
          <w:iCs/>
        </w:rPr>
        <w:t xml:space="preserve">Aethopyga christinae</w:t>
      </w:r>
      <w:r>
        <w:t xml:space="preserve"> </w:t>
      </w:r>
      <w:r>
        <w:t xml:space="preserve">and less than that of</w:t>
      </w:r>
      <w:r>
        <w:t xml:space="preserve"> </w:t>
      </w:r>
      <w:r>
        <w:rPr>
          <w:i/>
          <w:iCs/>
        </w:rPr>
        <w:t xml:space="preserve">Coracias garrulus</w:t>
      </w:r>
      <w:r>
        <w:t xml:space="preserve">, so the same province in the same year yields opposite values of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for the two species.</w:t>
      </w:r>
      <w:r>
        <w:t xml:space="preserve"> </w:t>
      </w:r>
      <w:r>
        <w:rPr>
          <w:b/>
          <w:bCs/>
        </w:rPr>
        <w:t xml:space="preserve">b</w:t>
      </w:r>
      <w:r>
        <w:t xml:space="preserve">, Variance of each climate term partitioned into variation between province-years and variation within a province-year, the latter arising purely from differences among species.</w:t>
      </w:r>
      <w:r>
        <w:t xml:space="preserve"> </w:t>
      </w:r>
      <w:r>
        <w:rPr>
          <w:b/>
          <w:bCs/>
        </w:rPr>
        <w:t xml:space="preserve">c</w:t>
      </w:r>
      <w:r>
        <w:t xml:space="preserve">, Partial effects in natural units: annual hazard against how much more the province has warmed than the species’ range, at three levels of survey effort expressed as annual visits.</w:t>
      </w:r>
      <w:r>
        <w:t xml:space="preserve"> </w:t>
      </w:r>
      <w:r>
        <w:rPr>
          <w:b/>
          <w:bCs/>
        </w:rPr>
        <w:t xml:space="preserve">d</w:t>
      </w:r>
      <w:r>
        <w:t xml:space="preserve">, Every variance component and both focal fixed effects expressed as the hazard multiplier per one standard deviation, on a common axis.</w:t>
      </w:r>
    </w:p>
    <w:p>
      <w:pPr>
        <w:pStyle w:val="BodyText"/>
      </w:pPr>
      <w:r>
        <w:rPr>
          <w:b/>
          <w:bCs/>
        </w:rPr>
        <w:t xml:space="preserve">Fig. 6 | The observation process made visible.</w:t>
      </w:r>
      <w:r>
        <w:t xml:space="preserve"> </w:t>
      </w:r>
      <w:r>
        <w:rPr>
          <w:b/>
          <w:bCs/>
        </w:rPr>
        <w:t xml:space="preserve">a</w:t>
      </w:r>
      <w:r>
        <w:t xml:space="preserve">, Species random intercepts as hazard multipliers, grouped by migratory strategy; diamonds are group medians.</w:t>
      </w:r>
      <w:r>
        <w:t xml:space="preserve"> </w:t>
      </w:r>
      <w:r>
        <w:rPr>
          <w:b/>
          <w:bCs/>
        </w:rPr>
        <w:t xml:space="preserve">b</w:t>
      </w:r>
      <w:r>
        <w:t xml:space="preserve">, Province random intercepts mapped, after controlling for effort and climate; grey denotes provincial units outside the analysis scope. Base map GS(2019)1822.</w:t>
      </w:r>
      <w:r>
        <w:t xml:space="preserve"> </w:t>
      </w:r>
      <w:r>
        <w:rPr>
          <w:b/>
          <w:bCs/>
        </w:rPr>
        <w:t xml:space="preserve">c</w:t>
      </w:r>
      <w:r>
        <w:t xml:space="preserve">, Province-by-year random intercepts, the largest variance component in the model. Provinces are ordered by their mean.</w:t>
      </w:r>
      <w:r>
        <w:t xml:space="preserve"> </w:t>
      </w:r>
      <w:r>
        <w:rPr>
          <w:b/>
          <w:bCs/>
        </w:rPr>
        <w:t xml:space="preserve">d</w:t>
      </w:r>
      <w:r>
        <w:t xml:space="preserve">, Hazard ratio for survey effort as a function of year, from the model that allows effects to vary through time; the ribbon is the 95% confidence interval.</w:t>
      </w:r>
    </w:p>
    <w:p>
      <w:pPr>
        <w:pStyle w:val="BodyText"/>
      </w:pPr>
      <w:r>
        <w:rPr>
          <w:b/>
          <w:bCs/>
        </w:rPr>
        <w:t xml:space="preserve">Fig. 7 | Accumulation window and climate baseline.</w:t>
      </w:r>
      <w:r>
        <w:t xml:space="preserve"> </w:t>
      </w:r>
      <w:r>
        <w:t xml:space="preserve">Windows of 5, 10, 15 and 20 years against three series: the main WorldClim 10-arc-minute data with a 1980–2000 baseline, the same baseline computed from CRU TS at 0.5° as a control for data source and resolution, and CRU TS with a 1970–2000 baseline.</w:t>
      </w:r>
      <w:r>
        <w:t xml:space="preserve"> </w:t>
      </w:r>
      <w:r>
        <w:rPr>
          <w:b/>
          <w:bCs/>
        </w:rPr>
        <w:t xml:space="preserve">a</w:t>
      </w:r>
      <w:r>
        <w:t xml:space="preserve">, Hazard ratio for accumulated warming.</w:t>
      </w:r>
      <w:r>
        <w:t xml:space="preserve"> </w:t>
      </w:r>
      <w:r>
        <w:rPr>
          <w:b/>
          <w:bCs/>
        </w:rPr>
        <w:t xml:space="preserve">b</w:t>
      </w:r>
      <w:r>
        <w:t xml:space="preserve">, Hazard ratio for survey effort.</w:t>
      </w:r>
      <w:r>
        <w:t xml:space="preserve"> </w:t>
      </w:r>
      <w:r>
        <w:rPr>
          <w:b/>
          <w:bCs/>
        </w:rPr>
        <w:t xml:space="preserve">c</w:t>
      </w:r>
      <w:r>
        <w:t xml:space="preserve">, Hazard ratio for the interaction.</w:t>
      </w:r>
      <w:r>
        <w:t xml:space="preserve"> </w:t>
      </w:r>
      <w:r>
        <w:rPr>
          <w:b/>
          <w:bCs/>
        </w:rPr>
        <w:t xml:space="preserve">d</w:t>
      </w:r>
      <w:r>
        <w:t xml:space="preserve">, ΔAIC within each series; circles mark the optimum. Ribbons are 95% confidence intervals.</w:t>
      </w:r>
    </w:p>
    <w:p>
      <w:pPr>
        <w:pStyle w:val="BodyText"/>
      </w:pPr>
      <w:r>
        <w:rPr>
          <w:b/>
          <w:bCs/>
        </w:rPr>
        <w:t xml:space="preserve">Fig. 8 | Migratory strategy shifts the baseline hazard but does not moderate either driver.</w:t>
      </w:r>
      <w:r>
        <w:t xml:space="preserve"> </w:t>
      </w:r>
      <w:r>
        <w:rPr>
          <w:b/>
          <w:bCs/>
        </w:rPr>
        <w:t xml:space="preserve">a</w:t>
      </w:r>
      <w:r>
        <w:t xml:space="preserve">, Risk-set rows, events and species in each group; the three groups with a known strategy carry 549 events in total.</w:t>
      </w:r>
      <w:r>
        <w:t xml:space="preserve"> </w:t>
      </w:r>
      <w:r>
        <w:rPr>
          <w:b/>
          <w:bCs/>
        </w:rPr>
        <w:t xml:space="preserve">b</w:t>
      </w:r>
      <w:r>
        <w:t xml:space="preserve">, Group-specific hazard ratios from models fitted separately within each group, with 95% confidence intervals.</w:t>
      </w:r>
      <w:r>
        <w:t xml:space="preserve"> </w:t>
      </w:r>
      <w:r>
        <w:rPr>
          <w:b/>
          <w:bCs/>
        </w:rPr>
        <w:t xml:space="preserve">c</w:t>
      </w:r>
      <w:r>
        <w:t xml:space="preserve">, ΔAIC across the moderation ladder; red text is the likelihood-ratio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 against the model with a migratory main effect only.</w:t>
      </w:r>
      <w:r>
        <w:t xml:space="preserve"> </w:t>
      </w:r>
      <w:r>
        <w:rPr>
          <w:b/>
          <w:bCs/>
        </w:rPr>
        <w:t xml:space="preserve">d</w:t>
      </w:r>
      <w:r>
        <w:t xml:space="preserve">, Group-specific warming × effort interaction derived from the three-way model; filled points are significant within group, open points are not. The formal test for heterogeneity among groups is not significant.</w:t>
      </w:r>
    </w:p>
    <w:p>
      <w:pPr>
        <w:pStyle w:val="BodyText"/>
      </w:pPr>
      <w:r>
        <w:rPr>
          <w:b/>
          <w:bCs/>
        </w:rPr>
        <w:t xml:space="preserve">Fig. 9 | Species-level correlates of new provincial records.</w:t>
      </w:r>
      <w:r>
        <w:t xml:space="preserve"> </w:t>
      </w:r>
      <w:r>
        <w:rPr>
          <w:b/>
          <w:bCs/>
        </w:rPr>
        <w:t xml:space="preserve">a</w:t>
      </w:r>
      <w:r>
        <w:t xml:space="preserve">, Continuous traits, as odds ratios per standard deviation with 95% confidence intervals, under three treatments of phylogenetic non-independence. Filled points are significant.</w:t>
      </w:r>
      <w:r>
        <w:t xml:space="preserve"> </w:t>
      </w:r>
      <w:r>
        <w:rPr>
          <w:b/>
          <w:bCs/>
        </w:rPr>
        <w:t xml:space="preserve">b</w:t>
      </w:r>
      <w:r>
        <w:t xml:space="preserve">, Categorical contrasts against their reference levels.</w:t>
      </w:r>
      <w:r>
        <w:t xml:space="preserve"> </w:t>
      </w:r>
      <w:r>
        <w:rPr>
          <w:b/>
          <w:bCs/>
        </w:rPr>
        <w:t xml:space="preserve">c</w:t>
      </w:r>
      <w:r>
        <w:t xml:space="preserve">, Range measured as an area, from two independent sources, against range measured as a count of provinces occupied.</w:t>
      </w:r>
      <w:r>
        <w:t xml:space="preserve"> </w:t>
      </w:r>
      <w:r>
        <w:rPr>
          <w:b/>
          <w:bCs/>
        </w:rPr>
        <w:t xml:space="preserve">d</w:t>
      </w:r>
      <w:r>
        <w:t xml:space="preserve">, For every term, the number of phylogenetic treatments in which it is significant, with the range of odds ratios across treatments.</w:t>
      </w:r>
    </w:p>
    <w:p>
      <w:pPr>
        <w:pStyle w:val="BodyText"/>
      </w:pPr>
      <w:r>
        <w:rPr>
          <w:b/>
          <w:bCs/>
        </w:rPr>
        <w:t xml:space="preserve">Fig. 10 | Province-level counts of new records.</w:t>
      </w:r>
      <w:r>
        <w:t xml:space="preserve"> </w:t>
      </w:r>
      <w:r>
        <w:rPr>
          <w:b/>
          <w:bCs/>
        </w:rPr>
        <w:t xml:space="preserve">a</w:t>
      </w:r>
      <w:r>
        <w:t xml:space="preserve">, Model comparison: Poisson against negative binomial, with and without recent effort as an offset.</w:t>
      </w:r>
      <w:r>
        <w:t xml:space="preserve"> </w:t>
      </w:r>
      <w:r>
        <w:rPr>
          <w:b/>
          <w:bCs/>
        </w:rPr>
        <w:t xml:space="preserve">b</w:t>
      </w:r>
      <w:r>
        <w:t xml:space="preserve">, Incidence rate ratios per standard deviation from the two negative-binomial models.</w:t>
      </w:r>
      <w:r>
        <w:t xml:space="preserve"> </w:t>
      </w:r>
      <w:r>
        <w:rPr>
          <w:b/>
          <w:bCs/>
        </w:rPr>
        <w:t xml:space="preserve">c</w:t>
      </w:r>
      <w:r>
        <w:t xml:space="preserve">, Hierarchical partitioning of explained deviance into independent and joint contributions.</w:t>
      </w:r>
      <w:r>
        <w:t xml:space="preserve"> </w:t>
      </w:r>
      <w:r>
        <w:rPr>
          <w:b/>
          <w:bCs/>
        </w:rPr>
        <w:t xml:space="preserve">d</w:t>
      </w:r>
      <w:r>
        <w:t xml:space="preserve">, Partial correlation of each predictor with the record count, holding the others constant.</w:t>
      </w:r>
    </w:p>
    <w:p>
      <w:pPr>
        <w:pStyle w:val="BodyText"/>
      </w:pPr>
      <w:r>
        <w:rPr>
          <w:b/>
          <w:bCs/>
        </w:rPr>
        <w:t xml:space="preserve">Fig. 11 | Directionality of new records relative to the species’ known range.</w:t>
      </w:r>
      <w:r>
        <w:t xml:space="preserve"> </w:t>
      </w:r>
      <w:r>
        <w:t xml:space="preserve">Bearing from the centroid of each species’ BirdLife range to the record, binned into eight 45° sectors. Radar and wind-rose forms are provided for the overall data, for the six largest orders overlaid, and for each of the sixteen best-sampled orders individually. Every order panel carries both sample sizes, new records and species, because one species can contribute records in several provinces. Overlay panels use each order’s own proportions; absolute sample sizes are in the legend.</w:t>
      </w:r>
    </w:p>
    <w:p>
      <w:pPr>
        <w:pStyle w:val="BodyText"/>
      </w:pPr>
      <w:r>
        <w:rPr>
          <w:b/>
          <w:bCs/>
        </w:rPr>
        <w:t xml:space="preserve">Fig. M1 | Mechanistic projection of the latent generation hazard, restricted to the fitted covariate support.</w:t>
      </w:r>
      <w:r>
        <w:t xml:space="preserve"> </w:t>
      </w:r>
      <w:r>
        <w:t xml:space="preserve">Provincial hazard relative to 2024 under two SSP scenarios at three horizons, aggregating only species-province cells whose accumulated warming and survey effort fall inside the 1st–99th percentile of the fitted data. The percentage on each panel is the share of cells that qualify.</w:t>
      </w:r>
    </w:p>
    <w:p>
      <w:pPr>
        <w:pStyle w:val="BodyText"/>
      </w:pPr>
      <w:r>
        <w:rPr>
          <w:b/>
          <w:bCs/>
        </w:rPr>
        <w:t xml:space="preserve">Fig. M2 | Machine-learning projection under identical inputs and the same support mask.</w:t>
      </w:r>
    </w:p>
    <w:p>
      <w:pPr>
        <w:pStyle w:val="BodyText"/>
      </w:pPr>
      <w:r>
        <w:rPr>
          <w:b/>
          <w:bCs/>
        </w:rPr>
        <w:t xml:space="preserve">Fig. M3 | TreeSHAP interpretation of the gradient-boosted model.</w:t>
      </w:r>
      <w:r>
        <w:t xml:space="preserve"> </w:t>
      </w:r>
      <w:r>
        <w:rPr>
          <w:b/>
          <w:bCs/>
        </w:rPr>
        <w:t xml:space="preserve">a</w:t>
      </w:r>
      <w:r>
        <w:t xml:space="preserve">, Mean absolute SHAP contribution per feature.</w:t>
      </w:r>
      <w:r>
        <w:t xml:space="preserve"> </w:t>
      </w:r>
      <w:r>
        <w:rPr>
          <w:b/>
          <w:bCs/>
        </w:rPr>
        <w:t xml:space="preserve">b</w:t>
      </w:r>
      <w:r>
        <w:t xml:space="preserve">, SHAP dependence, monotone increasing for both accumulated warming and survey effort.</w:t>
      </w:r>
    </w:p>
    <w:p>
      <w:pPr>
        <w:pStyle w:val="BodyText"/>
      </w:pPr>
      <w:r>
        <w:rPr>
          <w:b/>
          <w:bCs/>
        </w:rPr>
        <w:t xml:space="preserve">Fig. M4 | The two model families agree inside the fitted range and diverge outside it.</w:t>
      </w:r>
      <w:r>
        <w:t xml:space="preserve"> </w:t>
      </w:r>
      <w:r>
        <w:rPr>
          <w:b/>
          <w:bCs/>
        </w:rPr>
        <w:t xml:space="preserve">a</w:t>
      </w:r>
      <w:r>
        <w:t xml:space="preserve">, Province-year mean predicted hazard, 2002–2024.</w:t>
      </w:r>
      <w:r>
        <w:t xml:space="preserve"> </w:t>
      </w:r>
      <w:r>
        <w:rPr>
          <w:b/>
          <w:bCs/>
        </w:rPr>
        <w:t xml:space="preserve">b</w:t>
      </w:r>
      <w:r>
        <w:t xml:space="preserve">, First-to-99th-percentile range of each predictor in the fitted data and in each scenario-horizon combination.</w:t>
      </w:r>
      <w:r>
        <w:t xml:space="preserve"> </w:t>
      </w:r>
      <w:r>
        <w:rPr>
          <w:b/>
          <w:bCs/>
        </w:rPr>
        <w:t xml:space="preserve">c</w:t>
      </w:r>
      <w:r>
        <w:t xml:space="preserve">, Province-level projected hazard ratios, with rank correlation and directional agreement per panel.</w:t>
      </w:r>
    </w:p>
    <w:p>
      <w:pPr>
        <w:pStyle w:val="BodyText"/>
      </w:pPr>
      <w:r>
        <w:rPr>
          <w:b/>
          <w:bCs/>
        </w:rPr>
        <w:t xml:space="preserve">Extended Data Fig. 1 | Simulation-based residual diagnostics for the main model.</w:t>
      </w:r>
      <w:r>
        <w:t xml:space="preserve"> </w:t>
      </w:r>
      <w:r>
        <w:rPr>
          <w:b/>
          <w:bCs/>
        </w:rPr>
        <w:t xml:space="preserve">a</w:t>
      </w:r>
      <w:r>
        <w:t xml:space="preserve">, Quantile–quantile plot of DHARMa scaled residuals against the uniform distribution, from 500 simulations; every 40th point is drawn.</w:t>
      </w:r>
      <w:r>
        <w:t xml:space="preserve"> </w:t>
      </w:r>
      <w:r>
        <w:rPr>
          <w:b/>
          <w:bCs/>
        </w:rPr>
        <w:t xml:space="preserve">b</w:t>
      </w:r>
      <w:r>
        <w:t xml:space="preserve">, Kolmogorov–Smirnov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the residuals of each year and each province, against the nominal 5% level.</w:t>
      </w:r>
      <w:r>
        <w:t xml:space="preserve"> </w:t>
      </w:r>
      <w:r>
        <w:rPr>
          <w:b/>
          <w:bCs/>
        </w:rPr>
        <w:t xml:space="preserve">c</w:t>
      </w:r>
      <w:r>
        <w:t xml:space="preserve">,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of province-mean residuals against a null distribution from 999 permutations of province labels, with inverse-distance weights.</w:t>
      </w:r>
      <w:r>
        <w:t xml:space="preserve"> </w:t>
      </w:r>
      <w:r>
        <w:rPr>
          <w:b/>
          <w:bCs/>
        </w:rPr>
        <w:t xml:space="preserve">d</w:t>
      </w:r>
      <w:r>
        <w:t xml:space="preserve">, Rate of change of each focal coefficient with time on the log-hazard scale, testing the proportional-hazards assumption.</w:t>
      </w:r>
    </w:p>
    <w:p>
      <w:pPr>
        <w:pStyle w:val="BodyText"/>
      </w:pPr>
      <w:r>
        <w:rPr>
          <w:b/>
          <w:bCs/>
        </w:rPr>
        <w:t xml:space="preserve">Extended Data Fig. 3 | The same mechanistic projection without the support mask</w:t>
      </w:r>
      <w:r>
        <w:t xml:space="preserve">, shown to indicate the magnitude of the extrapolation.</w:t>
      </w:r>
    </w:p>
    <w:p>
      <w:pPr>
        <w:pStyle w:val="BodyText"/>
      </w:pPr>
      <w:r>
        <w:rPr>
          <w:b/>
          <w:bCs/>
        </w:rPr>
        <w:t xml:space="preserve">Extended Data Fig. 5 | Design-preserving null models, resampling and influence.</w:t>
      </w:r>
      <w:r>
        <w:t xml:space="preserve"> </w:t>
      </w:r>
      <w:r>
        <w:rPr>
          <w:b/>
          <w:bCs/>
        </w:rPr>
        <w:t xml:space="preserve">a</w:t>
      </w:r>
      <w:r>
        <w:t xml:space="preserve">, Null distributions of the four fixed effects under three permutation schemes, each destroying exactly one association while holding the risk set, the per-province-year event counts, the effort and completeness marginals and the random-effect hierarchy fixed (199 permutations each); red lines mark the observed values. The null for accumulated warming is centred near 1.16 rather than unity because permuting within province-years preserves the covariance between provincial-annual climate and provincial-annual event counts.</w:t>
      </w:r>
      <w:r>
        <w:t xml:space="preserve"> </w:t>
      </w:r>
      <w:r>
        <w:rPr>
          <w:b/>
          <w:bCs/>
        </w:rPr>
        <w:t xml:space="preserve">b</w:t>
      </w:r>
      <w:r>
        <w:t xml:space="preserve">, Wald and cluster bootstrap confidence intervals, resampling species (392 clusters) and provinces (31 clusters), 300 times each.</w:t>
      </w:r>
      <w:r>
        <w:t xml:space="preserve"> </w:t>
      </w:r>
      <w:r>
        <w:rPr>
          <w:b/>
          <w:bCs/>
        </w:rPr>
        <w:t xml:space="preserve">c</w:t>
      </w:r>
      <w:r>
        <w:t xml:space="preserve">, Actual coverage of the nominal 95% interval under a parametric bootstrap of 150 simulations from the fitted model, with the bias of each coefficient annotated.</w:t>
      </w:r>
      <w:r>
        <w:t xml:space="preserve"> </w:t>
      </w:r>
      <w:r>
        <w:rPr>
          <w:b/>
          <w:bCs/>
        </w:rPr>
        <w:t xml:space="preserve">d</w:t>
      </w:r>
      <w:r>
        <w:t xml:space="preserve">, Relative change in each hazard ratio when each province, and each of ten species deciles, is held out. Draws converging to degenerate optima (|log hazard ratio| &gt; 2) are excluded throughout; their number is 3 of 199 in the third null, 3 of 300 in the species bootstrap, and none elsewhere.</w:t>
      </w:r>
    </w:p>
    <w:bookmarkEnd w:id="10"/>
    <w:sectPr>
      <w:footerReference w:type="default" r:id="rId9"/>
      <w:footnotePr>
        <w:numRestart w:val="eachSect"/>
      </w:footnotePr>
      <w:pgMar w:left="1440" w:right="1440" w:top="1440" w:bottom="1440"/>
      <w:lnNumType w:countBy="1" w:start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sz w:val="2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/>
      <w:b/>
      <w:i/>
      <w:iCs/>
      <w:sz w:val="26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/>
      <w:b/>
      <w:sz w:val="26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/>
      <w:b/>
      <w:i/>
      <w:iCs/>
      <w:sz w:val="26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/>
      <w:b/>
      <w:sz w:val="26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/>
      <w:b/>
      <w:i/>
      <w:iCs/>
      <w:sz w:val="26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/>
      <w:b/>
      <w:sz w:val="26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/>
      <w:b/>
      <w:sz w:val="2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/>
      <w:b/>
      <w:sz w:val="26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/>
      <w:b/>
      <w:sz w:val="26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/>
      <w:b/>
      <w:i/>
      <w:iCs/>
      <w:sz w:val="2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/>
      <w:b/>
      <w:sz w:val="2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/>
      <w:b/>
      <w:i/>
      <w:iCs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/>
      <w:b/>
      <w:sz w:val="26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/>
      <w:b/>
      <w:i/>
      <w:iCs/>
      <w:sz w:val="26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/>
      <w:b/>
      <w:sz w:val="26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2026-08-12T13:21:05Z</dcterms:created>
  <dcterms:modified xsi:type="dcterms:W3CDTF">2026-08-12T13:21:05Z</dcterms:modified>
</cp:coreProperties>
</file>