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are pleased to submit our Article,</w:t>
      </w:r>
      <w:r>
        <w:t xml:space="preserve"> </w:t>
      </w:r>
      <w:r>
        <w:t xml:space="preserve">“Warming and survey effort contribute comparably to new bird distribution records when dated to discovery”</w:t>
      </w:r>
      <w:r>
        <w:t xml:space="preserve">, for consideration in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.</w:t>
      </w:r>
    </w:p>
    <w:p>
      <w:pPr>
        <w:pStyle w:val="BodyText"/>
      </w:pPr>
      <w:r>
        <w:t xml:space="preserve">New provincial and national distribution records are among the most widely used evidence that species are shifting their ranges under climate change. Yet every record needs a species to be present, an observer to look and a paper to be written, and in China, as in much of the world, warming and citizen-science effort have grown together: annual birding visits in the main checklist databases rose about 175-fold between 2002–2004 and 2022–2024. Analyses that include only one of these processes credit it with both. Most also date records to their year of publication, a choice that, we show, changes the conclusions.</w:t>
      </w:r>
    </w:p>
    <w:p>
      <w:pPr>
        <w:pStyle w:val="BodyText"/>
      </w:pPr>
      <w:r>
        <w:t xml:space="preserve">Using the China Bird New Record dataset (CBNR; 1,029 provincial records, 2000–2025, openly available on Zenodo), we model the annual hazard of a first provincial record for every species in every province it could plausibly reach. Three findings stand 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Dating is a modelling decision.</w:t>
      </w:r>
      <w:r>
        <w:t xml:space="preserve"> </w:t>
      </w:r>
      <w:r>
        <w:t xml:space="preserve">Publication-year dating inflates the survey-effort effect by 37% and manufactures a spurious climate-variability effect; dating to discovery removes both while leaving the warming effect intact.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Warming and observation contribute comparably.</w:t>
      </w:r>
      <w:r>
        <w:t xml:space="preserve"> </w:t>
      </w:r>
      <w:r>
        <w:t xml:space="preserve">Accumulated warming relative to each species’ historical range (hazard ratio 1.36 per standard deviation) and survey effort (1.40) have similar effects and interact negatively, and design-preserving permutation nulls quantify how much of the warming association is species-specific.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observation process is large and saturating.</w:t>
      </w:r>
      <w:r>
        <w:t xml:space="preserve"> </w:t>
      </w:r>
      <w:r>
        <w:t xml:space="preserve">Province-by-year survey pulses are the largest variance component, and the effect of effort fell from a hazard ratio of 2.18 in 2002 to 1.07 in 2024, whereas the warming effect showed no such decline.</w:t>
      </w:r>
    </w:p>
    <w:p>
      <w:pPr>
        <w:pStyle w:val="FirstParagraph"/>
      </w:pPr>
      <w:r>
        <w:t xml:space="preserve">The same care changes how the direction of new records should be read: their apparent eastward bias is reproduced by geography alone, and once geography and survey effort are accounted for, a modest poleward excess remains.</w:t>
      </w:r>
    </w:p>
    <w:p>
      <w:pPr>
        <w:pStyle w:val="BodyText"/>
      </w:pPr>
      <w:r>
        <w:t xml:space="preserve">We believe the work will interest the journal’s broad readership in ecology and evolution because the same inferential problem affects range-shift fingerprints for every well-observed taxon, and because the study offers a transparent, reproducible template for separating ecological change from the history of observation, including explicit limits on how far such models can be projected under climate scenarios.</w:t>
      </w:r>
    </w:p>
    <w:p>
      <w:pPr>
        <w:pStyle w:val="BodyText"/>
      </w:pPr>
      <w:r>
        <w:t xml:space="preserve">All data and code are openly available (CBNR: https://doi.org/10.5281/zenodo.20809949; analysis code: https://github.com/dingchenchen6/bird-newrecord-discovery-dated, to be archived with a DOI on acceptance).</w:t>
      </w:r>
    </w:p>
    <w:p>
      <w:pPr>
        <w:pStyle w:val="BodyText"/>
      </w:pPr>
      <w:r>
        <w:t xml:space="preserve">A data descriptor for CBNR is under consideration at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; it documents the dataset and contains none of the analyses reported here. [Authors: state any preprint.] This manuscript is not under consideration elsewhere, all authors have approved its submission, and we declare no competing interests.</w:t>
      </w:r>
    </w:p>
    <w:p>
      <w:pPr>
        <w:pStyle w:val="BodyText"/>
      </w:pPr>
      <w:r>
        <w:t xml:space="preserve">[Optional: suggested and excluded reviewers, to be provided by the authors.]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Chenchen Ding, on behalf of all authors</w:t>
      </w:r>
      <w:r>
        <w:t xml:space="preserve"> </w:t>
      </w:r>
      <w:r>
        <w:t xml:space="preserve">Institute of Ecology, College of Urban and Environmental Sciences, Peking University, Beijing 100871, China</w:t>
      </w:r>
      <w:r>
        <w:t xml:space="preserve"> </w:t>
      </w:r>
      <w:r>
        <w:t xml:space="preserve">chenchen.ding@pku.edu.cn</w:t>
      </w:r>
    </w:p>
    <w:sectPr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2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40" w:lineRule="auto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20"/>
    </w:pPr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2026-10-13T07:03:14Z</dcterms:created>
  <dcterms:modified xsi:type="dcterms:W3CDTF">2026-10-13T07:03:14Z</dcterms:modified>
</cp:coreProperties>
</file>