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supplementary-information"/>
    <w:p>
      <w:pPr>
        <w:pStyle w:val="Heading1"/>
      </w:pPr>
      <w:r>
        <w:t xml:space="preserve">Supplementary Information</w:t>
      </w:r>
    </w:p>
    <w:p>
      <w:pPr>
        <w:pStyle w:val="FirstParagraph"/>
      </w:pPr>
      <w:r>
        <w:rPr>
          <w:b/>
          <w:bCs/>
        </w:rPr>
        <w:t xml:space="preserve">Warming and survey effort contribute comparably to the generation of new bird distribution records once records are dated to discovery</w:t>
      </w:r>
    </w:p>
    <w:p>
      <w:pPr>
        <w:pStyle w:val="BodyText"/>
      </w:pPr>
      <w:r>
        <w:t xml:space="preserve">Chenchen Ding, et al.</w:t>
      </w:r>
    </w:p>
    <w:bookmarkStart w:id="19" w:name="supplementary-notes"/>
    <w:p>
      <w:pPr>
        <w:pStyle w:val="Heading2"/>
      </w:pPr>
      <w:r>
        <w:t xml:space="preserve">Supplementary Notes</w:t>
      </w:r>
    </w:p>
    <w:bookmarkStart w:id="9" w:name="X30038fe01b82cdcf1b2341fdd77b73e25c208ff"/>
    <w:p>
      <w:pPr>
        <w:pStyle w:val="Heading3"/>
      </w:pPr>
      <w:r>
        <w:t xml:space="preserve">Supplementary Note S1. Risk-set construction, publication-lag stationarity and the completeness offset</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S9).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under publication-year dating they had been lost beyond the window edge.</w:t>
      </w:r>
    </w:p>
    <w:p>
      <w:pPr>
        <w:pStyle w:val="BodyText"/>
      </w:pPr>
      <w:r>
        <w:t xml:space="preserve">Publication lags discovery by a median of one year and a mean of 2.09 years; 81.7% of records lag by at least one year and 26.8% by three or more (Fig. 2a). Re-dating changes the assigned year of 526 of 633 comparable events (83.1%), with a median shift of −1 year and a mean of −1.83 years. The two dating conventions produce qualitatively different time series (Fig. 2b):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The pooled distribution is justified because publication lag is stationary over the study period (Spearman correlation between discovery year and lag ρ = −0.016,</w:t>
      </w:r>
      <w:r>
        <w:t xml:space="preserve"> </w:t>
      </w:r>
      <w:r>
        <w:rPr>
          <w:i/>
          <w:iCs/>
        </w:rPr>
        <w:t xml:space="preserve">P</w:t>
      </w:r>
      <w:r>
        <w:t xml:space="preserve"> </w:t>
      </w:r>
      <w:r>
        <w:t xml:space="preserve">= 0.685; Wilcoxon comparison of 2002–2010 with 2011–2018</w:t>
      </w:r>
      <w:r>
        <w:t xml:space="preserve"> </w:t>
      </w:r>
      <w:r>
        <w:rPr>
          <w:i/>
          <w:iCs/>
        </w:rPr>
        <w:t xml:space="preserve">P</w:t>
      </w:r>
      <w:r>
        <w:t xml:space="preserve"> </w:t>
      </w:r>
      <w:r>
        <w:t xml:space="preserve">= 0.851; cumulative distributions differ by at most three percentage points at every lag).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p>
      <w:pPr>
        <w:pStyle w:val="BodyText"/>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p>
      <w:pPr>
        <w:pStyle w:val="BodyText"/>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9"/>
    <w:bookmarkStart w:id="10" w:name="Xa272fb64fd051658e3c3dd90d5c8b33c4c31682"/>
    <w:p>
      <w:pPr>
        <w:pStyle w:val="Heading3"/>
      </w:pPr>
      <w:r>
        <w:t xml:space="preserve">Supplementary Note S2. Importance criteria and the species-specific climate gradient</w:t>
      </w:r>
    </w:p>
    <w:p>
      <w:pPr>
        <w:pStyle w:val="FirstParagraph"/>
      </w:pPr>
      <w:r>
        <w:t xml:space="preserve">In the frozen main model, both drivers raise the hazard and the effect sizes are similar (Fig. 1a; Table 1).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1b).</w:t>
      </w:r>
    </w:p>
    <w:p>
      <w:pPr>
        <w:pStyle w:val="BodyText"/>
      </w:pPr>
      <w:r>
        <w:t xml:space="preserve">Two qualifications follow from the resampling analyses described below and should be carried through any reading of these effect sizes. First, the reference point for the warming coefficient is not unity. Permuting accumulated warming among species within a province-year, or permuting the event indicator among the species at risk in a province-year, still returns a hazard ratio of 1.157–1.167, because both permutations preserve the covariance between provincial-annual climate and provincial-annual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structural baseline shared with the null. The effort coefficient behaves differently: permuting effort across years within a province collapses it to 0.980, with the null 95% interval covering unity, so it derives from the temporal alignment of effort and events rather than from any cross-sectional contrast between well- and poorly surveyed provinces. Second, the Wald intervals are slightly narrow with respect to provincial clustering. A cluster bootstrap resampling provinces widens them to 1.20–1.72 for warming and 1.21–1.76 for effort; both lower bounds still exceed unity, and the interaction remains bounded away from it (0.74–0.99). Resampling species instead leaves the intervals essentially unchanged, so the species-level clustering is already absorbed by the random effects.</w:t>
      </w:r>
    </w:p>
    <w:p>
      <w:pPr>
        <w:pStyle w:val="BodyText"/>
      </w:pPr>
      <w:r>
        <w:t xml:space="preserve">Because standardised coefficients are hard to picture, we report both in natural units (Supplementary Fig. S4c). One standard deviation of accumulated warming is</w:t>
      </w:r>
      <w:r>
        <w:t xml:space="preserve"> </w:t>
      </w:r>
      <w:r>
        <w:rPr>
          <w:b/>
          <w:bCs/>
        </w:rPr>
        <w:t xml:space="preserve">0.179 °C</w:t>
      </w:r>
      <w:r>
        <w:t xml:space="preserve">: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w:t>
      </w:r>
      <w:r>
        <w:t xml:space="preserve"> </w:t>
      </w:r>
      <w:r>
        <w:rPr>
          <w:b/>
          <w:bCs/>
        </w:rPr>
        <w:t xml:space="preserve">7.75-fold</w:t>
      </w:r>
      <w:r>
        <w:t xml:space="preserve"> </w:t>
      </w:r>
      <w:r>
        <w:t xml:space="preserve">increase in annual provincial visits, from a median of 60 visits per year to about 465. The sign of the climate variable is also informative: a negative value means the province has warmed</w:t>
      </w:r>
      <w:r>
        <w:t xml:space="preserve"> </w:t>
      </w:r>
      <w:r>
        <w:rPr>
          <w:i/>
          <w:iCs/>
        </w:rPr>
        <w:t xml:space="preserve">less</w:t>
      </w:r>
      <w:r>
        <w:t xml:space="preserve"> </w:t>
      </w:r>
      <w:r>
        <w:t xml:space="preserve">than the species’ range, and such cells carry a correspondingly lower hazard.</w:t>
      </w:r>
    </w:p>
    <w:p>
      <w:pPr>
        <w:pStyle w:val="BodyText"/>
      </w:pPr>
      <w:r>
        <w:t xml:space="preserve">The climate variable is genuinely species-specific, not a relabelled regional index (Supplementary Fig. S4a, b). Decomposing its variance, 39% of the variation in accumulated warming and 55% of the variation in the raw gradient arise</w:t>
      </w:r>
      <w:r>
        <w:t xml:space="preserve"> </w:t>
      </w:r>
      <w:r>
        <w:rPr>
          <w:i/>
          <w:iCs/>
        </w:rPr>
        <w:t xml:space="preserve">within</w:t>
      </w:r>
      <w:r>
        <w:t xml:space="preserve"> </w:t>
      </w:r>
      <w:r>
        <w:t xml:space="preserve">province-years, that is, purely from differences among species. In Yunnan in 2020, for example,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cannot make that distinction and therefore cannot say which species should appear where.</w:t>
      </w:r>
    </w:p>
    <w:p>
      <w:pPr>
        <w:pStyle w:val="BodyText"/>
      </w:pPr>
      <w:r>
        <w:t xml:space="preserve">Four independent importance criteria agree that warming and effort are of comparable weight, with warming slightly ahead on discrimination (Fig. 1c). Dropping accumulated warming costs 28.7 AIC units and 0.053 of marginal AUC; dropping survey effort costs 29.5 AIC units and 0.032 of marginal AUC. The interaction costs 6.5 AIC units. Annual variability costs −2.0 AIC units, that is, the model is marginally better without it; we retain it because it is one half of a pre-specified decomposition and its null result is itself informative.</w:t>
      </w:r>
    </w:p>
    <w:p>
      <w:pPr>
        <w:pStyle w:val="BodyText"/>
      </w:pPr>
      <w:r>
        <w:t xml:space="preserve">The discrimination ladder makes the point most directly (Fig. 1d). With the random structure held at the main model, fixed-effect-only AUC rises from 0.411 for the null model to 0.559 with effort alone, 0.580 with accumulated warming alone, and 0.610 with both. Climate alone discriminates better than effort alone; neither alone approaches the pair. This is a different conclusion from the one reached under publication-year dating, where effort dominated.</w:t>
      </w:r>
    </w:p>
    <w:bookmarkEnd w:id="10"/>
    <w:bookmarkStart w:id="11" w:name="X0cc3cd3faabec675a2c7d7cfe60f2eb386398fb"/>
    <w:p>
      <w:pPr>
        <w:pStyle w:val="Heading3"/>
      </w:pPr>
      <w:r>
        <w:t xml:space="preserve">Supplementary Note S3. Random-effect structure selection</w:t>
      </w:r>
    </w:p>
    <w:p>
      <w:pPr>
        <w:pStyle w:val="FirstParagraph"/>
      </w:pPr>
      <w:r>
        <w:t xml:space="preserve">We evaluated six random-effect structures against four criteria rather than AIC alone (Supplementary Fig. S1; Supplementary Table S2).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Crucially, marginal AUC — the discrimination attributable to fixed effects — is flat across all six structures (0.607–0.613), confirming that the random structure absorbs observational heterogeneity without redistributing the fixed-effect signal.</w:t>
      </w:r>
    </w:p>
    <w:p>
      <w:pPr>
        <w:pStyle w:val="BodyText"/>
      </w:pPr>
      <w:r>
        <w:t xml:space="preserve">Two further structures were tested. A species-specific random slope on accumulated warming (ΔAIC 4.5 relative to the best) and a province-specific random slope on effort (ΔAIC 0.0, the AIC optimum) both fit marginally better,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for the simpler structure), and their fixed effects are indistinguishable from those of the main model (effort 1.397 and 1.372; warming 1.348 and 1.366). We therefore freeze the three-level intercept structure as the sole main model: it is the most parsimonious of the three statistically indistinguishable options, it has the highest explanatory power, and every one of its terms has a direct ecological or observational reading — intrinsic species detectability, regional survey context, and the province-year shocks through which surveys, festivals and reporting channels actually operate. No variance component collapses in any structure (minimum standard deviation 0.274).</w:t>
      </w:r>
    </w:p>
    <w:p>
      <w:pPr>
        <w:pStyle w:val="BodyText"/>
      </w:pPr>
      <w:r>
        <w:t xml:space="preserve">Each random term corresponds to a distinct process, and the fitted magnitudes are themselves results (Supplementary Fig. S4d, Fig. 3; Supplementary Table S4).</w:t>
      </w:r>
    </w:p>
    <w:p>
      <w:pPr>
        <w:pStyle w:val="BodyText"/>
      </w:pPr>
      <w:r>
        <w:rPr>
          <w:i/>
          <w:iCs/>
        </w:rPr>
        <w:t xml:space="preserve">Species (SD 0.405).</w:t>
      </w:r>
      <w:r>
        <w:t xml:space="preserve"> </w:t>
      </w:r>
      <w:r>
        <w:t xml:space="preserve">Species differ in intrinsic detectability for reasons no covariate in the model captures: body size, song conspicuousness, habitat accessibility, population density and taxonomic attention. One standard deviation multiplies the hazard by 1.50, and the fitted species span a 3.7-fold range. Grouping the species intercepts by migratory strategy shows overlapping distributions with a modestly higher median for partial migrants than for residents or long-distance migrants (Fig. 3a), consistent with partial migrants combining range-edge mobility with the year-round observability that long-distance migrants lack.</w:t>
      </w:r>
    </w:p>
    <w:p>
      <w:pPr>
        <w:pStyle w:val="BodyText"/>
      </w:pPr>
      <w:r>
        <w:rPr>
          <w:i/>
          <w:iCs/>
        </w:rPr>
        <w:t xml:space="preserve">Province (SD 0.326).</w:t>
      </w:r>
      <w:r>
        <w:t xml:space="preserve"> </w:t>
      </w:r>
      <w:r>
        <w:t xml:space="preserve">Provinces differ in their baseline setting for discovery — area, terrain complexity, habitat diversity, observer population and regional research tradition. One standard deviation multiplies the hazard by 1.39 (Fig. 3b).</w:t>
      </w:r>
    </w:p>
    <w:p>
      <w:pPr>
        <w:pStyle w:val="BodyText"/>
      </w:pPr>
      <w:r>
        <w:rPr>
          <w:i/>
          <w:iCs/>
        </w:rPr>
        <w:t xml:space="preserve">Province by year (SD 0.804).</w:t>
      </w:r>
      <w:r>
        <w:t xml:space="preserve"> </w:t>
      </w:r>
      <w:r>
        <w:t xml:space="preserve">This is the single largest variance component in the model, and it is the reason the level was added. One standard deviation multiplies the hazard by 2.23 — more than either fixed effect — and the fitted levels span a thirteenfold range (Fig. 3c). Ecologically it represents the scale at which the observation process actually operates: a regional survey campaign, a provincial birding festival, a newly established protected area, or a new local reporting channel raises the documentation rate for one province in one year. Because such shocks are not shared nationally, a model with only species and province intercepts cannot absorb them, and they leak into whichever fixed effect trends with observational capacity. The magnitude of this component is the quantitative expression of the paper’s central caution: the biodiversity record moves for reasons that have nothing to do with the birds.</w:t>
      </w:r>
    </w:p>
    <w:p>
      <w:pPr>
        <w:pStyle w:val="BodyText"/>
      </w:pPr>
      <w:r>
        <w:rPr>
          <w:i/>
          <w:iCs/>
        </w:rPr>
        <w:t xml:space="preserve">Reporting completeness offset.</w:t>
      </w:r>
      <w:r>
        <w:t xml:space="preserve"> </w:t>
      </w:r>
      <w:r>
        <w:t xml:space="preserve">Not a free parameter but a known correction, so it consumes no degrees of freedom. Omitting it attenuates the effort coefficient from 1.372 to 1.245, because censoring is concentrated in the recent, high-effort years.</w:t>
      </w:r>
    </w:p>
    <w:bookmarkEnd w:id="11"/>
    <w:bookmarkStart w:id="12" w:name="X3e5920beb683e3a91954dd8c9e73417d7a8573a"/>
    <w:p>
      <w:pPr>
        <w:pStyle w:val="Heading3"/>
      </w:pPr>
      <w:r>
        <w:t xml:space="preserve">Supplementary Note S4. Migratory stratification</w:t>
      </w:r>
    </w:p>
    <w:p>
      <w:pPr>
        <w:pStyle w:val="FirstParagraph"/>
      </w:pPr>
      <w:r>
        <w:t xml:space="preserve">New provincial records could plausibly arise by different routes in different migratory</w:t>
      </w:r>
      <w:r>
        <w:t xml:space="preserve"> </w:t>
      </w:r>
      <w:r>
        <w:t xml:space="preserve">strategies. Residents disperse slowly, so a first record should more often mark a genuine</w:t>
      </w:r>
      <w:r>
        <w:t xml:space="preserve"> </w:t>
      </w:r>
      <w:r>
        <w:t xml:space="preserve">boundary shift. Long-distance migrants are highly mobile and can appear far outside their range</w:t>
      </w:r>
      <w:r>
        <w:t xml:space="preserve"> </w:t>
      </w:r>
      <w:r>
        <w:t xml:space="preserve">as vagrants or storm-displaced individuals, processes driven by navigation error and weather</w:t>
      </w:r>
      <w:r>
        <w:t xml:space="preserve"> </w:t>
      </w:r>
      <w:r>
        <w:t xml:space="preserve">rather than by decadal warming at the destination, and they are visible only on passage. We</w:t>
      </w:r>
      <w:r>
        <w:t xml:space="preserve"> </w:t>
      </w:r>
      <w:r>
        <w:t xml:space="preserve">therefore tested whether migratory strategy moderates either driver (Supplementary Fig. S5; Supplementary Table S5).</w:t>
      </w:r>
    </w:p>
    <w:p>
      <w:pPr>
        <w:pStyle w:val="BodyText"/>
      </w:pPr>
      <w:r>
        <w:t xml:space="preserve">The analysis uses the three groups with a known strategy — 137 resident, 72 partial-migrant and</w:t>
      </w:r>
      <w:r>
        <w:t xml:space="preserve"> </w:t>
      </w:r>
      <w:r>
        <w:t xml:space="preserve">107 long-distance-migrant species, carrying 218, 156 and 175 events respectively. Species whose</w:t>
      </w:r>
      <w:r>
        <w:t xml:space="preserve"> </w:t>
      </w:r>
      <w:r>
        <w:t xml:space="preserve">strategy is unrecorded are excluded rather than treated as a fourth category: their event rate is</w:t>
      </w:r>
      <w:r>
        <w:t xml:space="preserve"> </w:t>
      </w:r>
      <w:r>
        <w:t xml:space="preserve">0.791% against 0.29–0.42% in the other groups, and they hold a third as many risk-set rows per</w:t>
      </w:r>
      <w:r>
        <w:t xml:space="preserve"> </w:t>
      </w:r>
      <w:r>
        <w:t xml:space="preserve">species, because a species without trait data entered the candidate pool only by virtue of having</w:t>
      </w:r>
      <w:r>
        <w:t xml:space="preserve"> </w:t>
      </w:r>
      <w:r>
        <w:t xml:space="preserve">a record. That is a selection artefact, not an ecological class.</w:t>
      </w:r>
    </w:p>
    <w:p>
      <w:pPr>
        <w:pStyle w:val="BodyText"/>
      </w:pPr>
      <w:r>
        <w:t xml:space="preserve">Migratory strategy shifts the baseline hazard: adding it as a main effect improves fit</w:t>
      </w:r>
      <w:r>
        <w:t xml:space="preserve"> </w:t>
      </w:r>
      <w:r>
        <w:t xml:space="preserve">(ΔAIC 6.2 relative to the model without it) and is the best model in the ladder. It does not,</w:t>
      </w:r>
      <w:r>
        <w:t xml:space="preserve"> </w:t>
      </w:r>
      <w:r>
        <w:t xml:space="preserve">however, moderate either driver. Adding warming × strategy, effort × strategy, both, or the full</w:t>
      </w:r>
      <w:r>
        <w:t xml:space="preserve"> </w:t>
      </w:r>
      <w:r>
        <w:t xml:space="preserve">three-way warming × effort × strategy each</w:t>
      </w:r>
      <w:r>
        <w:t xml:space="preserve"> </w:t>
      </w:r>
      <w:r>
        <w:rPr>
          <w:i/>
          <w:iCs/>
        </w:rPr>
        <w:t xml:space="preserve">worsens</w:t>
      </w:r>
      <w:r>
        <w:t xml:space="preserve"> </w:t>
      </w:r>
      <w:r>
        <w:t xml:space="preserve">AIC, and none is supported by a</w:t>
      </w:r>
      <w:r>
        <w:t xml:space="preserve"> </w:t>
      </w:r>
      <w:r>
        <w:t xml:space="preserve">likelihood-ratio test (</w:t>
      </w:r>
      <w:r>
        <w:rPr>
          <w:i/>
          <w:iCs/>
        </w:rPr>
        <w:t xml:space="preserve">P</w:t>
      </w:r>
      <w:r>
        <w:t xml:space="preserve"> </w:t>
      </w:r>
      <w:r>
        <w:t xml:space="preserve">= 0.693, 0.854, 0.899 and 0.256 respectively).</w:t>
      </w:r>
    </w:p>
    <w:p>
      <w:pPr>
        <w:pStyle w:val="BodyText"/>
      </w:pPr>
      <w:r>
        <w:t xml:space="preserve">Fitting each group separately gives the same picture (Supplementary Fig. S5b). Accumulated warming raises the</w:t>
      </w:r>
      <w:r>
        <w:t xml:space="preserve"> </w:t>
      </w:r>
      <w:r>
        <w:t xml:space="preserve">hazard in every group — 1.363 (95% CI 1.158–1.605) in residents, 1.507 (1.244–1.826) in partial</w:t>
      </w:r>
      <w:r>
        <w:t xml:space="preserve"> </w:t>
      </w:r>
      <w:r>
        <w:t xml:space="preserve">migrants and 1.514 (1.265–1.812) in long-distance migrants — and so does survey effort, at 1.293,</w:t>
      </w:r>
      <w:r>
        <w:t xml:space="preserve"> </w:t>
      </w:r>
      <w:r>
        <w:t xml:space="preserve">1.270 and 1.344. The confidence intervals overlap almost completely, as the formal tests imply.</w:t>
      </w:r>
      <w:r>
        <w:t xml:space="preserve"> </w:t>
      </w:r>
      <w:r>
        <w:t xml:space="preserve">Our prior expectation that warming would matter least for long-distance migrants was not borne</w:t>
      </w:r>
      <w:r>
        <w:t xml:space="preserve"> </w:t>
      </w:r>
      <w:r>
        <w:t xml:space="preserve">out: their point estimate is the highest of the three, though indistinguishable from the others.</w:t>
      </w:r>
      <w:r>
        <w:t xml:space="preserve"> </w:t>
      </w:r>
      <w:r>
        <w:t xml:space="preserve">The stratified fits use a reduced random structure of species and province intercepts, because</w:t>
      </w:r>
      <w:r>
        <w:t xml:space="preserve"> </w:t>
      </w:r>
      <w:r>
        <w:t xml:space="preserve">689 province-year levels are not identifiable from 156–218 events; the ladder, which uses all 549</w:t>
      </w:r>
      <w:r>
        <w:t xml:space="preserve"> </w:t>
      </w:r>
      <w:r>
        <w:t xml:space="preserve">events, retains the full structure.</w:t>
      </w:r>
    </w:p>
    <w:p>
      <w:pPr>
        <w:pStyle w:val="BodyText"/>
      </w:pPr>
      <w:r>
        <w:t xml:space="preserve">One pattern is worth flagging without claiming it. The warming × effort interaction is confined to</w:t>
      </w:r>
      <w:r>
        <w:t xml:space="preserve"> </w:t>
      </w:r>
      <w:r>
        <w:t xml:space="preserve">long-distance migrants (0.753, 0.628–0.903,</w:t>
      </w:r>
      <w:r>
        <w:t xml:space="preserve"> </w:t>
      </w:r>
      <w:r>
        <w:rPr>
          <w:i/>
          <w:iCs/>
        </w:rPr>
        <w:t xml:space="preserve">P</w:t>
      </w:r>
      <w:r>
        <w:t xml:space="preserve"> </w:t>
      </w:r>
      <w:r>
        <w:t xml:space="preserve">= 0.0022) and is absent in residents (0.942,</w:t>
      </w:r>
      <w:r>
        <w:t xml:space="preserve"> </w:t>
      </w:r>
      <w:r>
        <w:rPr>
          <w:i/>
          <w:iCs/>
        </w:rPr>
        <w:t xml:space="preserve">P</w:t>
      </w:r>
      <w:r>
        <w:t xml:space="preserve"> </w:t>
      </w:r>
      <w:r>
        <w:t xml:space="preserve">= 0.54) and partial migrants (1.053,</w:t>
      </w:r>
      <w:r>
        <w:t xml:space="preserve"> </w:t>
      </w:r>
      <w:r>
        <w:rPr>
          <w:i/>
          <w:iCs/>
        </w:rPr>
        <w:t xml:space="preserve">P</w:t>
      </w:r>
      <w:r>
        <w:t xml:space="preserve"> </w:t>
      </w:r>
      <w:r>
        <w:t xml:space="preserve">= 0.62). But the test that matters for this claim is</w:t>
      </w:r>
      <w:r>
        <w:t xml:space="preserve"> </w:t>
      </w:r>
      <w:r>
        <w:t xml:space="preserve">whether the groups differ, and it is not significant: the three-way likelihood-ratio test gives</w:t>
      </w:r>
      <w:r>
        <w:t xml:space="preserve"> </w:t>
      </w:r>
      <w:r>
        <w:rPr>
          <w:i/>
          <w:iCs/>
        </w:rPr>
        <w:t xml:space="preserve">P</w:t>
      </w:r>
      <w:r>
        <w:t xml:space="preserve"> </w:t>
      </w:r>
      <w:r>
        <w:t xml:space="preserve">= 0.256 and the long-distance-versus-resident contrast</w:t>
      </w:r>
      <w:r>
        <w:t xml:space="preserve"> </w:t>
      </w:r>
      <w:r>
        <w:rPr>
          <w:i/>
          <w:iCs/>
        </w:rPr>
        <w:t xml:space="preserve">P</w:t>
      </w:r>
      <w:r>
        <w:t xml:space="preserve"> </w:t>
      </w:r>
      <w:r>
        <w:t xml:space="preserve">= 0.078. With at most 218 events per</w:t>
      </w:r>
      <w:r>
        <w:t xml:space="preserve"> </w:t>
      </w:r>
      <w:r>
        <w:t xml:space="preserve">group the design cannot resolve group differences in an interaction term, so we report this as a</w:t>
      </w:r>
      <w:r>
        <w:t xml:space="preserve"> </w:t>
      </w:r>
      <w:r>
        <w:t xml:space="preserve">hypothesis for a larger compilation rather than as a result (Supplementary Fig. S5d).</w:t>
      </w:r>
    </w:p>
    <w:bookmarkEnd w:id="12"/>
    <w:bookmarkStart w:id="13" w:name="X0f6a3bdb647f4f07438347992eb94787d31388e"/>
    <w:p>
      <w:pPr>
        <w:pStyle w:val="Heading3"/>
      </w:pPr>
      <w:r>
        <w:t xml:space="preserve">Supplementary Note S5. Species-level and province-level companion analyses</w:t>
      </w:r>
    </w:p>
    <w:p>
      <w:pPr>
        <w:pStyle w:val="FirstParagraph"/>
      </w:pPr>
      <w:r>
        <w:t xml:space="preserve">The hazard model asks what governs the risk that a given species is recorded in a given province</w:t>
      </w:r>
      <w:r>
        <w:t xml:space="preserve"> </w:t>
      </w:r>
      <w:r>
        <w:t xml:space="preserve">in a given year. Two complementary questions operate at coarser levels: which species are more</w:t>
      </w:r>
      <w:r>
        <w:t xml:space="preserve"> </w:t>
      </w:r>
      <w:r>
        <w:t xml:space="preserve">likely to yield a new provincial record at all, and which provinces accumulate more of them. We</w:t>
      </w:r>
      <w:r>
        <w:t xml:space="preserve"> </w:t>
      </w:r>
      <w:r>
        <w:t xml:space="preserve">address both following the framework of the companion mammal study, adapted to birds</w:t>
      </w:r>
      <w:r>
        <w:t xml:space="preserve"> </w:t>
      </w:r>
      <w:r>
        <w:t xml:space="preserve">(Figs 9, 10; Tables 7, 8).</w:t>
      </w:r>
    </w:p>
    <w:p>
      <w:pPr>
        <w:pStyle w:val="BodyText"/>
      </w:pPr>
      <w:r>
        <w:rPr>
          <w:i/>
          <w:iCs/>
        </w:rPr>
        <w:t xml:space="preserve">Species level.</w:t>
      </w:r>
      <w:r>
        <w:t xml:space="preserve"> </w:t>
      </w:r>
      <w:r>
        <w:t xml:space="preserve">The pool is the 1,445 Chinese bird species of the national ecological trait</w:t>
      </w:r>
      <w:r>
        <w:t xml:space="preserve"> </w:t>
      </w:r>
      <w:r>
        <w:t xml:space="preserve">database, of which 1,312 match the dated Clements phylogeny and 361 acquired at least one new</w:t>
      </w:r>
      <w:r>
        <w:t xml:space="preserve"> </w:t>
      </w:r>
      <w:r>
        <w:t xml:space="preserve">provincial record; these carry 636 of the 657 events, the remainder belonging to 13 species that</w:t>
      </w:r>
      <w:r>
        <w:t xml:space="preserve"> </w:t>
      </w:r>
      <w:r>
        <w:t xml:space="preserve">are post-2022 taxonomic splits absent from the pool. Traits come from three sources in order of</w:t>
      </w:r>
      <w:r>
        <w:t xml:space="preserve"> </w:t>
      </w:r>
      <w:r>
        <w:t xml:space="preserve">precedence: the Chinese database for body mass, morphometrics, multi-category diet, clutch size,</w:t>
      </w:r>
      <w:r>
        <w:t xml:space="preserve"> </w:t>
      </w:r>
      <w:r>
        <w:t xml:space="preserve">nest type and site, flocking, migratory status and endemism; BIRDBASE for habitat breadth (the</w:t>
      </w:r>
      <w:r>
        <w:t xml:space="preserve"> </w:t>
      </w:r>
      <w:r>
        <w:t xml:space="preserve">number of major habitats used), diet breadth (the number of major food types consumed) and IUCN</w:t>
      </w:r>
      <w:r>
        <w:t xml:space="preserve"> </w:t>
      </w:r>
      <w:r>
        <w:t xml:space="preserve">status; and AVONET for the hand-wing index and global range area. Phylogenetic non-independence</w:t>
      </w:r>
      <w:r>
        <w:t xml:space="preserve"> </w:t>
      </w:r>
      <w:r>
        <w:t xml:space="preserve">is handled with the tree itself, using phylogenetic logistic regression (Ives &amp; Garland,</w:t>
      </w:r>
      <w:r>
        <w:t xml:space="preserve"> </w:t>
      </w:r>
      <w:r>
        <w:t xml:space="preserve">estimated α = 0.60), with taxonomic nesting and phylogenetic eigenvector regression as coarser</w:t>
      </w:r>
      <w:r>
        <w:t xml:space="preserve"> </w:t>
      </w:r>
      <w:r>
        <w:t xml:space="preserve">alternatives to confirm that nothing depends on the choice.</w:t>
      </w:r>
    </w:p>
    <w:p>
      <w:pPr>
        <w:pStyle w:val="BodyText"/>
      </w:pPr>
      <w:r>
        <w:t xml:space="preserve">Two effects hold under all three treatments (Supplementary Fig. S6a, b, d). Partial migrants are about twice as</w:t>
      </w:r>
      <w:r>
        <w:t xml:space="preserve"> </w:t>
      </w:r>
      <w:r>
        <w:t xml:space="preserve">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w:t>
      </w:r>
      <w:r>
        <w:t xml:space="preserve"> </w:t>
      </w:r>
      <w:r>
        <w:t xml:space="preserve">with the hazard model from a different direction: partial migrants also carry the highest raw</w:t>
      </w:r>
      <w:r>
        <w:t xml:space="preserve"> </w:t>
      </w:r>
      <w:r>
        <w:t xml:space="preserve">event rate there (0.417% against 0.29–0.33%). Body mass, clutch size, habitat breadth, diet</w:t>
      </w:r>
      <w:r>
        <w:t xml:space="preserve"> </w:t>
      </w:r>
      <w:r>
        <w:t xml:space="preserve">breadth, number of congeners, hand-wing index, IUCN status, endemism and trophic niche are all</w:t>
      </w:r>
      <w:r>
        <w:t xml:space="preserve"> </w:t>
      </w:r>
      <w:r>
        <w:t xml:space="preserve">null — a contrast with the mammal study, where smaller-bodied, nocturnal and data-deficient</w:t>
      </w:r>
      <w:r>
        <w:t xml:space="preserve"> </w:t>
      </w:r>
      <w:r>
        <w:t xml:space="preserve">species were more likely to be newly recorded.</w:t>
      </w:r>
    </w:p>
    <w:p>
      <w:pPr>
        <w:pStyle w:val="BodyText"/>
      </w:pPr>
      <w:r>
        <w:t xml:space="preserve">Pooling all species conceals two group-specific patterns that a stratified fit recovers</w:t>
      </w:r>
      <w:r>
        <w:t xml:space="preserve"> </w:t>
      </w:r>
      <w:r>
        <w:t xml:space="preserve">(Supplementary Fig. S6alt a, b; Supplementary Table S8). Splitting taxonomically, range size acts within Passeriformes</w:t>
      </w:r>
      <w:r>
        <w:t xml:space="preserve"> </w:t>
      </w:r>
      <w:r>
        <w:t xml:space="preserve">(1.53,</w:t>
      </w:r>
      <w:r>
        <w:t xml:space="preserve"> </w:t>
      </w:r>
      <w:r>
        <w:rPr>
          <w:i/>
          <w:iCs/>
        </w:rPr>
        <w:t xml:space="preserve">P</w:t>
      </w:r>
      <w:r>
        <w:t xml:space="preserve"> </w:t>
      </w:r>
      <w:r>
        <w:t xml:space="preserve">= 0.0020) but not within non-passerines, whereas the partial-migrant effect is present</w:t>
      </w:r>
      <w:r>
        <w:t xml:space="preserve"> </w:t>
      </w:r>
      <w:r>
        <w:t xml:space="preserve">in both and is stronger outside the passerines (3.19,</w:t>
      </w:r>
      <w:r>
        <w:t xml:space="preserve"> </w:t>
      </w:r>
      <w:r>
        <w:rPr>
          <w:i/>
          <w:iCs/>
        </w:rPr>
        <w:t xml:space="preserve">P</w:t>
      </w:r>
      <w:r>
        <w:t xml:space="preserve"> </w:t>
      </w:r>
      <w:r>
        <w:t xml:space="preserve">= 3.3 × 10⁻⁴, against 2.01,</w:t>
      </w:r>
      <w:r>
        <w:t xml:space="preserve"> </w:t>
      </w:r>
      <w:r>
        <w:rPr>
          <w:i/>
          <w:iCs/>
        </w:rPr>
        <w:t xml:space="preserve">P</w:t>
      </w:r>
      <w:r>
        <w:t xml:space="preserve"> </w:t>
      </w:r>
      <w:r>
        <w:t xml:space="preserve">= 0.0081). Splitting instead by migratory strategy is more revealing. Among residents only</w:t>
      </w:r>
      <w:r>
        <w:t xml:space="preserve"> </w:t>
      </w:r>
      <w:r>
        <w:t xml:space="preserve">range size matters (1.60,</w:t>
      </w:r>
      <w:r>
        <w:t xml:space="preserve"> </w:t>
      </w:r>
      <w:r>
        <w:rPr>
          <w:i/>
          <w:iCs/>
        </w:rPr>
        <w:t xml:space="preserve">P</w:t>
      </w:r>
      <w:r>
        <w:t xml:space="preserve"> </w:t>
      </w:r>
      <w:r>
        <w:t xml:space="preserve">= 0.0042). Among full migrants neither range size nor migratory</w:t>
      </w:r>
      <w:r>
        <w:t xml:space="preserve"> </w:t>
      </w:r>
      <w:r>
        <w:t xml:space="preserve">class can act, and two traits that are null in the pooled model become significant: the hand-wing</w:t>
      </w:r>
      <w:r>
        <w:t xml:space="preserve"> </w:t>
      </w:r>
      <w:r>
        <w:t xml:space="preserve">index, a standard index of dispersal ability,</w:t>
      </w:r>
      <w:r>
        <w:t xml:space="preserve"> </w:t>
      </w:r>
      <w:r>
        <w:rPr>
          <w:i/>
          <w:iCs/>
        </w:rPr>
        <w:t xml:space="preserve">lowers</w:t>
      </w:r>
      <w:r>
        <w:t xml:space="preserve"> </w:t>
      </w:r>
      <w:r>
        <w:t xml:space="preserve">the odds (0.51,</w:t>
      </w:r>
      <w:r>
        <w:t xml:space="preserve"> </w:t>
      </w:r>
      <w:r>
        <w:rPr>
          <w:i/>
          <w:iCs/>
        </w:rPr>
        <w:t xml:space="preserve">P</w:t>
      </w:r>
      <w:r>
        <w:t xml:space="preserve"> </w:t>
      </w:r>
      <w:r>
        <w:t xml:space="preserve">= 3.8 × 10⁻⁴), and body</w:t>
      </w:r>
      <w:r>
        <w:t xml:space="preserve"> </w:t>
      </w:r>
      <w:r>
        <w:t xml:space="preserve">mass raises them (1.74,</w:t>
      </w:r>
      <w:r>
        <w:t xml:space="preserve"> </w:t>
      </w:r>
      <w:r>
        <w:rPr>
          <w:i/>
          <w:iCs/>
        </w:rPr>
        <w:t xml:space="preserve">P</w:t>
      </w:r>
      <w:r>
        <w:t xml:space="preserve"> </w:t>
      </w:r>
      <w:r>
        <w:t xml:space="preserve">= 0.0037). Both fit a vagrancy mechanism. A migrant with poor flight</w:t>
      </w:r>
      <w:r>
        <w:t xml:space="preserve"> </w:t>
      </w:r>
      <w:r>
        <w:t xml:space="preserve">efficiency is more easily displaced off its normal route, and a large-bodied bird sitting far</w:t>
      </w:r>
      <w:r>
        <w:t xml:space="preserve"> </w:t>
      </w:r>
      <w:r>
        <w:t xml:space="preserve">outside its range is more likely to be noticed and reported. The pooled model averages these</w:t>
      </w:r>
      <w:r>
        <w:t xml:space="preserve"> </w:t>
      </w:r>
      <w:r>
        <w:t xml:space="preserve">against residents, for whom neither applies, and returns zero for both.</w:t>
      </w:r>
    </w:p>
    <w:p>
      <w:pPr>
        <w:pStyle w:val="BodyText"/>
      </w:pPr>
      <w:r>
        <w:rPr>
          <w:i/>
          <w:iCs/>
        </w:rPr>
        <w:t xml:space="preserve">Imputed traits.</w:t>
      </w:r>
      <w:r>
        <w:t xml:space="preserve"> </w:t>
      </w:r>
      <w:r>
        <w:t xml:space="preserve">Trait gaps were filled by random forest, but the out-of-bag error for</w:t>
      </w:r>
      <w:r>
        <w:t xml:space="preserve"> </w:t>
      </w:r>
      <w:r>
        <w:t xml:space="preserve">continuous traits is no better than mean imputation (NRMSE 1.00; the categorical error is</w:t>
      </w:r>
      <w:r>
        <w:t xml:space="preserve"> </w:t>
      </w:r>
      <w:r>
        <w:t xml:space="preserve">acceptable at PFC 0.11), so imputed values are flagged per trait and should not be treated as</w:t>
      </w:r>
      <w:r>
        <w:t xml:space="preserve"> </w:t>
      </w:r>
      <w:r>
        <w:t xml:space="preserve">equivalent to measured ones. Only 51 of the 1,298 modelled species (3.9%) carry an imputed value</w:t>
      </w:r>
      <w:r>
        <w:t xml:space="preserve"> </w:t>
      </w:r>
      <w:r>
        <w:t xml:space="preserve">among the main-model traits, and 12 of those have a record. Refitting without them leaves the</w:t>
      </w:r>
      <w:r>
        <w:t xml:space="preserve"> </w:t>
      </w:r>
      <w:r>
        <w:t xml:space="preserve">conclusions intact: 17 of 20 terms retain the same sign and significance, and all three</w:t>
      </w:r>
      <w:r>
        <w:t xml:space="preserve"> </w:t>
      </w:r>
      <w:r>
        <w:t xml:space="preserve">significant effects survive — range size 1.456 → 1.309 (</w:t>
      </w:r>
      <w:r>
        <w:rPr>
          <w:i/>
          <w:iCs/>
        </w:rPr>
        <w:t xml:space="preserve">P</w:t>
      </w:r>
      <w:r>
        <w:t xml:space="preserve"> </w:t>
      </w:r>
      <w:r>
        <w:t xml:space="preserve">1.1 × 10⁻⁴ → 4.5 × 10⁻³), partial</w:t>
      </w:r>
      <w:r>
        <w:t xml:space="preserve"> </w:t>
      </w:r>
      <w:r>
        <w:t xml:space="preserve">migrant 1.889 → 2.200 (9.7 × 10⁻⁴ → 6.5 × 10⁻⁵), open habitat 0.541 → 0.598 (2.1 × 10⁻³ →</w:t>
      </w:r>
      <w:r>
        <w:t xml:space="preserve"> </w:t>
      </w:r>
      <w:r>
        <w:t xml:space="preserve">1.1 × 10⁻²). One caveat belongs with this: on the reduced subset the phylogenetic logistic</w:t>
      </w:r>
      <w:r>
        <w:t xml:space="preserve"> </w:t>
      </w:r>
      <w:r>
        <w:t xml:space="preserve">regression reports α at its upper bound and fails to converge cleanly. The full model’s α of 0.597</w:t>
      </w:r>
      <w:r>
        <w:t xml:space="preserve"> </w:t>
      </w:r>
      <w:r>
        <w:t xml:space="preserve">is already close to that bound of 0.620, which indicates weak phylogenetic signal at this scale</w:t>
      </w:r>
      <w:r>
        <w:t xml:space="preserve"> </w:t>
      </w:r>
      <w:r>
        <w:t xml:space="preserve">rather than a problem specific to the subset. We therefore repeated the sensitivity under</w:t>
      </w:r>
      <w:r>
        <w:t xml:space="preserve"> </w:t>
      </w:r>
      <w:r>
        <w:t xml:space="preserve">taxonomic nesting and phylogenetic eigenvectors, which converge normally and return the same two</w:t>
      </w:r>
      <w:r>
        <w:t xml:space="preserve"> </w:t>
      </w:r>
      <w:r>
        <w:t xml:space="preserve">headline effects (partial migrant 2.59 and 2.57, both</w:t>
      </w:r>
      <w:r>
        <w:t xml:space="preserve"> </w:t>
      </w:r>
      <w:r>
        <w:rPr>
          <w:i/>
          <w:iCs/>
        </w:rPr>
        <w:t xml:space="preserve">P</w:t>
      </w:r>
      <w:r>
        <w:t xml:space="preserve"> </w:t>
      </w:r>
      <w:r>
        <w:t xml:space="preserve">&lt; 5 × 10⁻⁶; range size 1.22,</w:t>
      </w:r>
      <w:r>
        <w:t xml:space="preserve"> </w:t>
      </w:r>
      <w:r>
        <w:rPr>
          <w:i/>
          <w:iCs/>
        </w:rPr>
        <w:t xml:space="preserve">P</w:t>
      </w:r>
      <w:r>
        <w:t xml:space="preserve"> </w:t>
      </w:r>
      <w:r>
        <w:t xml:space="preserve">= 0.041).</w:t>
      </w:r>
    </w:p>
    <w:p>
      <w:pPr>
        <w:pStyle w:val="BodyText"/>
      </w:pPr>
      <w:r>
        <w:t xml:space="preserve">Range size must be measured as an</w:t>
      </w:r>
      <w:r>
        <w:t xml:space="preserve"> </w:t>
      </w:r>
      <w:r>
        <w:rPr>
          <w:b/>
          <w:bCs/>
        </w:rPr>
        <w:t xml:space="preserve">area</w:t>
      </w:r>
      <w:r>
        <w:t xml:space="preserve">, not as a count of provinces occupied (Supplementary Fig. S6c;</w:t>
      </w:r>
      <w:r>
        <w:t xml:space="preserve"> </w:t>
      </w:r>
      <w:r>
        <w:t xml:space="preserve">Supplementary Table S6). Both area measures are independent of the response and agree: global range area gives</w:t>
      </w:r>
      <w:r>
        <w:t xml:space="preserve"> </w:t>
      </w:r>
      <w:r>
        <w:t xml:space="preserve">an odds ratio of 1.456 (95% CI 1.204–1.762,</w:t>
      </w:r>
      <w:r>
        <w:t xml:space="preserve"> </w:t>
      </w:r>
      <w:r>
        <w:rPr>
          <w:i/>
          <w:iCs/>
        </w:rPr>
        <w:t xml:space="preserve">P</w:t>
      </w:r>
      <w:r>
        <w:t xml:space="preserve"> </w:t>
      </w:r>
      <w:r>
        <w:t xml:space="preserve">= 1.1 × 10⁻⁴, n = 1,298) and Chinese range area,</w:t>
      </w:r>
      <w:r>
        <w:t xml:space="preserve"> </w:t>
      </w:r>
      <w:r>
        <w:t xml:space="preserve">taken from BirdLife polygons clipped to China, gives 1.653 (1.420–1.925,</w:t>
      </w:r>
      <w:r>
        <w:t xml:space="preserve"> </w:t>
      </w:r>
      <w:r>
        <w:rPr>
          <w:i/>
          <w:iCs/>
        </w:rPr>
        <w:t xml:space="preserve">P</w:t>
      </w:r>
      <w:r>
        <w:t xml:space="preserve"> </w:t>
      </w:r>
      <w:r>
        <w:t xml:space="preserve">= 9.0 × 10⁻¹¹,</w:t>
      </w:r>
      <w:r>
        <w:t xml:space="preserve"> </w:t>
      </w:r>
      <w:r>
        <w:t xml:space="preserve">n = 1,003). The count of provinces occupied does not qualify: the trait database was published in</w:t>
      </w:r>
      <w:r>
        <w:t xml:space="preserve"> </w:t>
      </w:r>
      <w:r>
        <w:t xml:space="preserve">2022 and its provincial counts therefore already contain the 2002–2021 records used as the</w:t>
      </w:r>
      <w:r>
        <w:t xml:space="preserve"> </w:t>
      </w:r>
      <w:r>
        <w:t xml:space="preserve">response. Species with a new record occupy a median of 14 provinces against 4 for those without,</w:t>
      </w:r>
      <w:r>
        <w:t xml:space="preserve"> </w:t>
      </w:r>
      <w:r>
        <w:t xml:space="preserve">that variable returns an odds ratio of 2.09 (</w:t>
      </w:r>
      <w:r>
        <w:rPr>
          <w:i/>
          <w:iCs/>
        </w:rPr>
        <w:t xml:space="preserve">P</w:t>
      </w:r>
      <w:r>
        <w:t xml:space="preserve"> </w:t>
      </w:r>
      <w:r>
        <w:t xml:space="preserve">= 5 × 10⁻¹⁵), and it absorbs the area effect</w:t>
      </w:r>
      <w:r>
        <w:t xml:space="preserve"> </w:t>
      </w:r>
      <w:r>
        <w:t xml:space="preserve">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w:t>
      </w:r>
      <w:r>
        <w:t xml:space="preserve"> </w:t>
      </w:r>
      <w:r>
        <w:t xml:space="preserve">(dispersion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w:t>
      </w:r>
      <w:r>
        <w:t xml:space="preserve"> </w:t>
      </w:r>
      <w:r>
        <w:t xml:space="preserve">and passes simulation-based diagnostics (Supplementary Fig. S7a; Supplementary Table S7). In the count model only regional</w:t>
      </w:r>
      <w:r>
        <w:t xml:space="preserve"> </w:t>
      </w:r>
      <w:r>
        <w:t xml:space="preserve">species richness is significant (incidence rate ratio 1.27,</w:t>
      </w:r>
      <w:r>
        <w:t xml:space="preserve"> </w:t>
      </w:r>
      <w:r>
        <w:rPr>
          <w:i/>
          <w:iCs/>
        </w:rPr>
        <w:t xml:space="preserve">P</w:t>
      </w:r>
      <w:r>
        <w:t xml:space="preserve"> </w:t>
      </w:r>
      <w:r>
        <w:t xml:space="preserve">= 0.036). The informative model is</w:t>
      </w:r>
      <w:r>
        <w:t xml:space="preserve"> </w:t>
      </w:r>
      <w:r>
        <w:t xml:space="preserve">the one that treats recent survey effort as an offset, so that the response becomes the discovery</w:t>
      </w:r>
      <w:r>
        <w:t xml:space="preserve"> </w:t>
      </w:r>
      <w:r>
        <w:t xml:space="preserve">rate per unit of effort: there, provinces already well covered in 2002–2008 yield fewer records</w:t>
      </w:r>
      <w:r>
        <w:t xml:space="preserve"> </w:t>
      </w:r>
      <w:r>
        <w:t xml:space="preserve">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w:t>
      </w:r>
      <w:r>
        <w:t xml:space="preserve"> </w:t>
      </w:r>
      <w:r>
        <w:t xml:space="preserve">(Supplementary Fig. S7b). Hierarchical partitioning attributes 51.2% of the explained deviance to species</w:t>
      </w:r>
      <w:r>
        <w:t xml:space="preserve"> </w:t>
      </w:r>
      <w:r>
        <w:t xml:space="preserve">richness, 33.3% to area and 9% to the two effort terms combined, with the full model explaining</w:t>
      </w:r>
      <w:r>
        <w:t xml:space="preserve"> </w:t>
      </w:r>
      <w:r>
        <w:t xml:space="preserve">20.5% of deviance (Supplementary Fig. S7c).</w:t>
      </w:r>
    </w:p>
    <w:p>
      <w:pPr>
        <w:pStyle w:val="BodyText"/>
      </w:pPr>
      <w:r>
        <w:t xml:space="preserve">Effort therefore appears at the provincial scale not as a count effect but as diminishing</w:t>
      </w:r>
      <w:r>
        <w:t xml:space="preserve"> </w:t>
      </w:r>
      <w:r>
        <w:t xml:space="preserve">returns — the same signal the hazard model shows as an effort coefficient that falls through time.</w:t>
      </w:r>
      <w:r>
        <w:t xml:space="preserve"> </w:t>
      </w:r>
      <w:r>
        <w:t xml:space="preserve">Two analyses at different levels, on different response variables, converge on the conclusion that</w:t>
      </w:r>
      <w:r>
        <w:t xml:space="preserve"> </w:t>
      </w:r>
      <w:r>
        <w:t xml:space="preserve">China’s observational capacity is now large enough that additional effort recovers progressively</w:t>
      </w:r>
      <w:r>
        <w:t xml:space="preserve"> </w:t>
      </w:r>
      <w:r>
        <w:t xml:space="preserve">less of what remains undocumented.</w:t>
      </w:r>
    </w:p>
    <w:p>
      <w:pPr>
        <w:pStyle w:val="BodyText"/>
      </w:pPr>
      <w:r>
        <w:t xml:space="preserve">One adaptation must be stated. The mammal study measured historical survey effort as publication</w:t>
      </w:r>
      <w:r>
        <w:t xml:space="preserve"> </w:t>
      </w:r>
      <w:r>
        <w:t xml:space="preserve">counts for 1949–2000. No bird analogue exists in these data: the observation database holds seven</w:t>
      </w:r>
      <w:r>
        <w:t xml:space="preserve"> </w:t>
      </w:r>
      <w:r>
        <w:t xml:space="preserve">reports before 2000 and 29 of 31 provinces have none. Early (2002–2008) and recent (2009–2024)</w:t>
      </w:r>
      <w:r>
        <w:t xml:space="preserve"> </w:t>
      </w:r>
      <w:r>
        <w:t xml:space="preserve">coverage therefore take that role, which preserves the question — do provinces already well</w:t>
      </w:r>
      <w:r>
        <w:t xml:space="preserve"> </w:t>
      </w:r>
      <w:r>
        <w:t xml:space="preserve">covered show diminishing returns? — on a shorter timescale than the original.</w:t>
      </w:r>
    </w:p>
    <w:bookmarkEnd w:id="13"/>
    <w:bookmarkStart w:id="14" w:name="X18968bb74a8275b63752767ef540202af80e305"/>
    <w:p>
      <w:pPr>
        <w:pStyle w:val="Heading3"/>
      </w:pPr>
      <w:r>
        <w:t xml:space="preserve">Supplementary Note S6. Per-order tests of directional uniformity</w:t>
      </w:r>
    </w:p>
    <w:p>
      <w:pPr>
        <w:pStyle w:val="FirstParagraph"/>
      </w:pPr>
      <w:r>
        <w:t xml:space="preserve">If new records simply filled in survey gaps at random, they would fall on all sides of a species’</w:t>
      </w:r>
      <w:r>
        <w:t xml:space="preserve"> </w:t>
      </w:r>
      <w:r>
        <w:t xml:space="preserve">known range with equal frequency. They do not. Taking the bearing from the centroid of each</w:t>
      </w:r>
      <w:r>
        <w:t xml:space="preserve"> </w:t>
      </w:r>
      <w:r>
        <w:t xml:space="preserve">species’ BirdLife range to the record itself and binning into eight sectors, direction is far from</w:t>
      </w:r>
      <w:r>
        <w:t xml:space="preserve"> </w:t>
      </w:r>
      <w:r>
        <w:t xml:space="preserve">uniform (χ² = 580.1, df = 7,</w:t>
      </w:r>
      <w:r>
        <w:t xml:space="preserve"> </w:t>
      </w:r>
      <w:r>
        <w:rPr>
          <w:i/>
          <w:iCs/>
        </w:rPr>
        <w:t xml:space="preserve">P</w:t>
      </w:r>
      <w:r>
        <w:t xml:space="preserve"> </w:t>
      </w:r>
      <w:r>
        <w:t xml:space="preserve">= 4.6 × 10⁻¹²¹; Fig. 4). Two sectors are over-represented after</w:t>
      </w:r>
      <w:r>
        <w:t xml:space="preserve"> </w:t>
      </w:r>
      <w:r>
        <w:t xml:space="preserve">Holm correction: east holds 237 of 642 records (36.9%, against 80.2 expected) and northeast 179</w:t>
      </w:r>
      <w:r>
        <w:t xml:space="preserve"> </w:t>
      </w:r>
      <w:r>
        <w:t xml:space="preserve">(27.9%). South and west are nearly empty, with 20 and 19.</w:t>
      </w:r>
    </w:p>
    <w:p>
      <w:pPr>
        <w:pStyle w:val="BodyText"/>
      </w:pPr>
      <w:r>
        <w:t xml:space="preserve">The pattern is not carried by one taxon. Five of the well-sampled orders reject uniformity on</w:t>
      </w:r>
      <w:r>
        <w:t xml:space="preserve"> </w:t>
      </w:r>
      <w:r>
        <w:t xml:space="preserve">their own — Passeriformes (χ² = 376.6,</w:t>
      </w:r>
      <w:r>
        <w:t xml:space="preserve"> </w:t>
      </w:r>
      <w:r>
        <w:rPr>
          <w:i/>
          <w:iCs/>
        </w:rPr>
        <w:t xml:space="preserve">P</w:t>
      </w:r>
      <w:r>
        <w:t xml:space="preserve"> </w:t>
      </w:r>
      <w:r>
        <w:t xml:space="preserve">= 2.5 × 10⁻⁷⁷), Anseriformes (64.0), Accipitriformes</w:t>
      </w:r>
      <w:r>
        <w:t xml:space="preserve"> </w:t>
      </w:r>
      <w:r>
        <w:t xml:space="preserve">(52.5), Charadriiformes (45.5) and Columbiformes (29.1) — and in every case the significant</w:t>
      </w:r>
      <w:r>
        <w:t xml:space="preserve"> </w:t>
      </w:r>
      <w:r>
        <w:t xml:space="preserve">sectors are east, northeast or both.</w:t>
      </w:r>
    </w:p>
    <w:p>
      <w:pPr>
        <w:pStyle w:val="BodyText"/>
      </w:pPr>
      <w:r>
        <w:t xml:space="preserve">Two mechanisms are consistent with this and cannot be separated by these data. The eastern half of</w:t>
      </w:r>
      <w:r>
        <w:t xml:space="preserve"> </w:t>
      </w:r>
      <w:r>
        <w:t xml:space="preserve">China holds the great majority of the observer population, so a species’ range edge is far more</w:t>
      </w:r>
      <w:r>
        <w:t xml:space="preserve"> </w:t>
      </w:r>
      <w:r>
        <w:t xml:space="preserve">likely to be watched on its eastern than on its western side; this is the observational reading,</w:t>
      </w:r>
      <w:r>
        <w:t xml:space="preserve"> </w:t>
      </w:r>
      <w:r>
        <w:t xml:space="preserve">and it is the same asymmetry the province-by-year variance component captures. The ecological</w:t>
      </w:r>
      <w:r>
        <w:t xml:space="preserve"> </w:t>
      </w:r>
      <w:r>
        <w:t xml:space="preserve">reading is that eastern and north-eastern range margins are where suitable climate is expanding</w:t>
      </w:r>
      <w:r>
        <w:t xml:space="preserve"> </w:t>
      </w:r>
      <w:r>
        <w:t xml:space="preserve">fastest for a warming-tracking assemblage. The companion mammal study found a northward and</w:t>
      </w:r>
      <w:r>
        <w:t xml:space="preserve"> </w:t>
      </w:r>
      <w:r>
        <w:t xml:space="preserve">eastward bias on the same reasoning. That birds show an eastward rather than a northward bias is</w:t>
      </w:r>
      <w:r>
        <w:t xml:space="preserve"> </w:t>
      </w:r>
      <w:r>
        <w:t xml:space="preserve">itself informative: China’s observer gradient runs west-to-east, not south-to-north, which tilts</w:t>
      </w:r>
      <w:r>
        <w:t xml:space="preserve"> </w:t>
      </w:r>
      <w:r>
        <w:t xml:space="preserve">the balance of the two explanations toward the observational one for this taxon.</w:t>
      </w:r>
    </w:p>
    <w:bookmarkEnd w:id="14"/>
    <w:bookmarkStart w:id="15" w:name="Xa584d8e92996b49100d86c9c3117521d29aa113"/>
    <w:p>
      <w:pPr>
        <w:pStyle w:val="Heading3"/>
      </w:pPr>
      <w:r>
        <w:t xml:space="preserve">Supplementary Note S7. Full robustness suite</w:t>
      </w:r>
    </w:p>
    <w:p>
      <w:pPr>
        <w:pStyle w:val="FirstParagraph"/>
      </w:pPr>
      <w:r>
        <w:t xml:space="preserve">The conclusions do not depend on any freely chosen analytical decision (Supplementary Fig. S2).</w:t>
      </w:r>
    </w:p>
    <w:p>
      <w:pPr>
        <w:pStyle w:val="BodyText"/>
      </w:pPr>
      <w:r>
        <w:rPr>
          <w:i/>
          <w:iCs/>
        </w:rPr>
        <w:t xml:space="preserve">Species-distribution-model threshold.</w:t>
      </w:r>
      <w:r>
        <w:t xml:space="preserve"> </w:t>
      </w:r>
      <w:r>
        <w:t xml:space="preserve">A province enters a species’ candidate pool when the species distribution model marks at least a threshold number of suitable cells inside it. Cells are those of the 2.5-arc-minute climate surface and have a median area of 18.3 km², so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 Annual mean temperature integrates the whole thermal regime, whereas seasonal extremes describe conditions that constrain overwintering or breeding but not the year-round climatic envelope within which a range boundary sits.</w:t>
      </w:r>
    </w:p>
    <w:p>
      <w:pPr>
        <w:pStyle w:val="BodyText"/>
      </w:pPr>
      <w:r>
        <w:rPr>
          <w:i/>
          <w:iCs/>
        </w:rPr>
        <w:t xml:space="preserve">Accumulation window and climate baseline.</w:t>
      </w:r>
      <w:r>
        <w:t xml:space="preserve"> </w:t>
      </w:r>
      <w:r>
        <w:t xml:space="preserve">Both are analyst choices rather than data-determined ones, so we tested them jointly at windows of 5, 10, 15 and 20 years against the two baselines in common use for this kind of anomaly, 1980–2000 and 1970–2000 (Supplementary Fig. S3).</w:t>
      </w:r>
    </w:p>
    <w:p>
      <w:pPr>
        <w:pStyle w:val="BodyText"/>
      </w:pPr>
      <w:r>
        <w:t xml:space="preserve">The 1970–2000 baseline cannot be computed from the WorldClim 2.1 downscaling used in the main analysis, which begins in 1980. We therefore rebuilt the entire climate chain from CRU TS 4.09 at its native 0.5°, which reaches back to 1901, and fitted</w:t>
      </w:r>
      <w:r>
        <w:t xml:space="preserve"> </w:t>
      </w:r>
      <w:r>
        <w:rPr>
          <w:i/>
          <w:iCs/>
        </w:rPr>
        <w:t xml:space="preserve">both</w:t>
      </w:r>
      <w:r>
        <w:t xml:space="preserve"> </w:t>
      </w:r>
      <w:r>
        <w:t xml:space="preserve">baselines on it. This separates two things that would otherwise be confounded: comparing WorldClim 1980–2000 with CRU 1980–2000 isolates the effect of changing data source and resolution, and comparing CRU 1980–2000 with CRU 1970–2000 isolates the effect of the baseline period itself.</w:t>
      </w:r>
    </w:p>
    <w:p>
      <w:pPr>
        <w:pStyle w:val="BodyText"/>
      </w:pPr>
      <w:r>
        <w:t xml:space="preserve">Three results follow, and each has an ecological reading rather than being merely a robustness statement.</w:t>
      </w:r>
    </w:p>
    <w:p>
      <w:pPr>
        <w:pStyle w:val="BodyText"/>
      </w:pPr>
      <w:r>
        <w:t xml:space="preserve">First, the warming coefficient rises with window length in every series, from about 1.16–1.21 at five years to 1.36–1.40 at twenty years (Supplementary Fig. S3a).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(Supplementary Table S10) places the optimum at 18–20 years with AIC rising again by 23 years, so the optimum is interior rather than an artefact of the tested range. We retain 15 years as pre-specified; it lies within 2.2–5.6 AIC units of the optimum in every series.</w:t>
      </w:r>
    </w:p>
    <w:p>
      <w:pPr>
        <w:pStyle w:val="BodyText"/>
      </w:pPr>
      <w:r>
        <w:t xml:space="preserve">Second, the effort coefficient is flat at 1.34–1.41 across all twelve combinations (Supplementary Fig. S3b), and the interaction is negative throughout (0.87–1.00; Supplementary Fig. S3c). If the climate and effort terms were competing for the same variance, changing the climate specification would move the effort estimate. It does not, which is direct evidence that the two are separately identified.</w:t>
      </w:r>
    </w:p>
    <w:p>
      <w:pPr>
        <w:pStyle w:val="BodyText"/>
      </w:pPr>
      <w:r>
        <w:t xml:space="preserve">Third, the choice between the two baselines is immaterial, and if anything the longer one strengthens the result: at</w:t>
      </w:r>
      <w:r>
        <w:t xml:space="preserve"> </w:t>
      </w:r>
      <w:r>
        <w:rPr>
          <w:i/>
          <w:iCs/>
        </w:rPr>
        <w:t xml:space="preserve">W</w:t>
      </w:r>
      <w:r>
        <w:t xml:space="preserve"> </w:t>
      </w:r>
      <w:r>
        <w:t xml:space="preserve">= 15 the hazard ratio is 1.361 under CRU 1970–2000 against 1.307 under CRU 1980–2000, and the main WorldClim 1980–2000 estimate of 1.362 sits between the two. Changing data source and resolution moves the estimate by a similar small amount (1.362 to 1.307), so neither choice is decisive. One caveat follows from the resolution difference and matters for interpretation: because the 0.5° CRU grid smooths the sub-grid topographic variation that the 10-arc-minute downscaling retains, one standard deviation of accumulated warming is 0.058 °C in the CRU series against 0.179 °C in the main one. Standardised hazard ratios remain comparable, but the natural-unit statements in this paper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Because the three missing-data rules yield different sample sizes, AIC is not comparable across them and we compare coefficients only.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15"/>
    <w:bookmarkStart w:id="16" w:name="X170efa3bb91d930ab89d9527181fbef2a03b099"/>
    <w:p>
      <w:pPr>
        <w:pStyle w:val="Heading3"/>
      </w:pPr>
      <w:r>
        <w:t xml:space="preserve">Supplementary Note S8. Model adequacy and resampling</w:t>
      </w:r>
    </w:p>
    <w:p>
      <w:pPr>
        <w:pStyle w:val="FirstParagraph"/>
      </w:pPr>
      <w:r>
        <w:t xml:space="preserve">Simulation-based residual diagnostics indicate a well-calibrated model (Supplementary Fig. S8; Supplementary Table S3).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(Supplementary Fig. S9).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which is null under the design as it is in the fitted model (</w:t>
      </w:r>
      <w:r>
        <w:rPr>
          <w:i/>
          <w:iCs/>
        </w:rPr>
        <w:t xml:space="preserve">P</w:t>
      </w:r>
      <w:r>
        <w:t xml:space="preserve"> </w:t>
      </w:r>
      <w:r>
        <w:t xml:space="preserve">= 0.16 and 0.31). A cluster bootstrap of 300 resamples shows that provincial clustering inflates the standard errors by a factor of 1.26–1.59 relative to the model-based values, whereas species clustering does not (0.86–1.17); Table 1 therefore reports both intervals. A parametric bootstrap of 150 simulations recovers the coefficients with absolute bias below 0.01 on the log-hazard scale and gives actual coverage of 91.3–95.3% for the nominal 95% interval, consistent with the cluster result. Leaving out each province in turn, and each of ten species deciles, moves the coefficients by at most 4.2%, with 9 of 164 combinations exceeding 3%: no single province or species group carries the result.</w:t>
      </w:r>
    </w:p>
    <w:p>
      <w:pPr>
        <w:pStyle w:val="BodyText"/>
      </w:pPr>
      <w:r>
        <w:t xml:space="preserve">The proportional-hazards assumption holds for the focal climate term: the interaction between accumulated warming and time is negligible (β = −0.022,</w:t>
      </w:r>
      <w:r>
        <w:t xml:space="preserve"> </w:t>
      </w:r>
      <w:r>
        <w:rPr>
          <w:i/>
          <w:iCs/>
        </w:rPr>
        <w:t xml:space="preserve">P</w:t>
      </w:r>
      <w:r>
        <w:t xml:space="preserve"> </w:t>
      </w:r>
      <w:r>
        <w:t xml:space="preserve">= 0.82). It does not hold for effort (β = −0.211,</w:t>
      </w:r>
      <w:r>
        <w:t xml:space="preserve"> </w:t>
      </w:r>
      <w:r>
        <w:rPr>
          <w:i/>
          <w:iCs/>
        </w:rPr>
        <w:t xml:space="preserve">P</w:t>
      </w:r>
      <w:r>
        <w:t xml:space="preserve"> </w:t>
      </w:r>
      <w:r>
        <w:t xml:space="preserve">= 7.7 × 10⁻⁴), which is a substantive result rather than a diagnostic failure: the marginal return of an additional standard deviation of survey effort has declined over 2002–2024, consistent with the progressive saturation of easily detectable gaps. In a model that allows both effects to vary through time, the fixed effects are unchanged in direction and magnitude (effort 1.527, warming 1.369, variability 0.996), and only the interaction loses significance (0.864,</w:t>
      </w:r>
      <w:r>
        <w:t xml:space="preserve"> </w:t>
      </w:r>
      <w:r>
        <w:rPr>
          <w:i/>
          <w:iCs/>
        </w:rPr>
        <w:t xml:space="preserve">P</w:t>
      </w:r>
      <w:r>
        <w:t xml:space="preserve"> </w:t>
      </w:r>
      <w:r>
        <w:t xml:space="preserve">= 0.12).</w:t>
      </w:r>
    </w:p>
    <w:p>
      <w:pPr>
        <w:pStyle w:val="BodyText"/>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16"/>
    <w:bookmarkStart w:id="17" w:name="Xde19335a79af8187311e76aa193af9f42a1347a"/>
    <w:p>
      <w:pPr>
        <w:pStyle w:val="Heading3"/>
      </w:pPr>
      <w:r>
        <w:t xml:space="preserve">Supplementary Note S9. Projection detail and covariate support</w:t>
      </w:r>
    </w:p>
    <w:p>
      <w:pPr>
        <w:pStyle w:val="FirstParagraph"/>
      </w:pPr>
      <w:r>
        <w:t xml:space="preserve">We projected the fitted hazard under CMIP6 SSP2-4.5 and SSP5-8.5 for 2030, 2050 and 2080, applying the four-model ensemble delta to both the provincial and the species-range end of the climate gradient — applying it to one end only would create a climate signal from spatially uniform warming — and growing effort at scenario-differentiated rates. We then asked how much of each scenario lies inside the range over which the model was fitted (Fig. 5b).</w:t>
      </w:r>
    </w:p>
    <w:p>
      <w:pPr>
        <w:pStyle w:val="BodyText"/>
      </w:pPr>
      <w:r>
        <w:t xml:space="preserve">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S10). Applied without the mask, the same model produces ratios up to 78 (Supplementary Fig. S11). We regard the masked surfaces as the defensible result and the unmasked ones as an illustration of how far the extrapolation reaches.</w:t>
      </w:r>
    </w:p>
    <w:p>
      <w:pPr>
        <w:pStyle w:val="BodyText"/>
      </w:pPr>
      <w:r>
        <w:t xml:space="preserve">A gradient-boosted comparison model trained on the same three predictors reinforces the point. Within the observed range the two model families track each other across province-years (Spearman ρ = 0.54). Outside it they diverge completely: rank correlations across province-scenario cells range from −0.04 to 0.18, and the two agree on the direction of change in only 23.7% of cells, falling to 6.5% under SSP5-8.5 in 2080. The mechanistic model projects increases in 176 of 186 cells; the machine-learning model in 42. The cause is structural: tree ensembles return boundary leaf values once covariates leave the training support and therefore saturate, whereas the complementary log-log model extrapolates linearly on the log-hazard scale. Neither behaviour is validated by the data. TreeSHAP attributions within the training range are monotone increasing for both warming and effort (Supplementary Fig. S17), consistent with the mechanistic coefficients.</w:t>
      </w:r>
    </w:p>
    <w:p>
      <w:pPr>
        <w:pStyle w:val="BodyText"/>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 A gradient-boosted comparison model (XGBoost, 400 rounds, learning rate 0.05, depth 4)</w:t>
      </w:r>
      <w:r>
        <w:rPr>
          <w:vertAlign w:val="superscript"/>
        </w:rPr>
        <w:t xml:space="preserve">36</w:t>
      </w:r>
      <w:r>
        <w:t xml:space="preserve"> </w:t>
      </w:r>
      <w:r>
        <w:t xml:space="preserve">was trained on the same three predictors, and exact TreeSHAP attributions were computed for interpretation</w:t>
      </w:r>
      <w:r>
        <w:rPr>
          <w:vertAlign w:val="superscript"/>
        </w:rPr>
        <w:t xml:space="preserve">35</w:t>
      </w:r>
      <w:r>
        <w:t xml:space="preserve">.</w:t>
      </w:r>
    </w:p>
    <w:bookmarkEnd w:id="17"/>
    <w:bookmarkStart w:id="18" w:name="Xb2a709d4752ad8a74ad8e1348b8cd7f7dcdae37"/>
    <w:p>
      <w:pPr>
        <w:pStyle w:val="Heading3"/>
      </w:pPr>
      <w:r>
        <w:t xml:space="preserve">Supplementary Note S10. Nature-reserve conditional logistic analysis</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(172,079 checklists at 43,571 distinct locations, 2002–2023) to define availability as</w:t>
      </w:r>
      <w:r>
        <w:t xml:space="preserve"> </w:t>
      </w:r>
      <w:r>
        <w:rPr>
          <w:i/>
          <w:iCs/>
        </w:rPr>
        <w:t xml:space="preserve">where birdwatchers actually went</w:t>
      </w:r>
      <w:r>
        <w:t xml:space="preserve">. Each event was matched to 200 control locations drawn from the same province and year, weighted by the checklists recorded there, and analysed by conditional logistic regression (Supplementary Fig. S13).</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of the residual association argue that it too is largely observational. First, it is carried by very few sites: the 172 inside-reserve events fall in only 68 reserves (6.6% of the 1,028), the top two account for 27.3%, and a block bootstrap resampling host reserves rather than records widens the interval to 0.89–3.19. Dropping the two largest hosts leaves 1.16 (0.92–1.47). Second, it is confined to the period of rapid growth in birdwatching: the odds ratio is 2.05 (1.61–2.59) for 2013–2023 but 0.97 (0.62–1.50) for 2002–2012, although the mapped reserve network gained no area after 2012. Third, checklists made inside reserves record 18.9 species on average against 15.3 outside, a 24% difference in per-visit yield that stratification by province and year cannot remove. Two competing explanations were tested and rejected: the enrichment is not driven by professional survey work (inside-reserve share is 28.5% for birdwatching-type discoveries, 26.3% for specimen, camera-trap and ringing discoveries), and it is not an artefact of coordinate precision (the share rises smoothly from 26.2% to 37.6% across 0–5 km buffers, with no threshold jump).</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w:t>
      </w:r>
    </w:p>
    <w:p>
      <w:pPr>
        <w:pStyle w:val="BodyText"/>
      </w:pPr>
      <w:r>
        <w:t xml:space="preserve">Whether a first record becomes a persistent presence is unrelated to reserve status. Using subsequent detections of the same species in the same province in the checklist layer, 41.1% of first records were re-detected at least once and 22.5% in three or more later years. Controlling for subsequent survey effort — which grew from 148 checklists province-wide in 2002 to 14,974 in 2023 and dominates re-detection — the inside-versus-outside odds ratios are 1.01 (0.62–1.64) and 1.10 (0.61–1.99) (Supplementary Fig. S14). The confidence intervals are slightly wider than our pre-declared equivalence bounds of 0.67–1.5, so we report no detectable difference rather than equivalence. These figures also give the first empirical handle on the vagrancy objection: provincial first records are not predominantly vagrants, but neither are they predominantly colonisations.</w:t>
      </w:r>
    </w:p>
    <w:p>
      <w:pPr>
        <w:pStyle w:val="BodyText"/>
      </w:pPr>
      <w:r>
        <w:t xml:space="preserve">Finally, the reserve network shows no measurable mismatch with observed warming, contrary to a widely repeated expectation. Recomputing warming at the cell level from CRU TS 4.09 — the warming fields distributed with the gridded panel are provincial values broadcast to cells, with only 31 distinct values nationally — the area-weighted reserve coverage across warming quintiles ranges only from 8.5% to 11.8%, a 1.2-fold spread, against the 8.5-fold spread the broadcast field implies (Supplementary Fig. S15a). An area-weighted fractional logit gives β = −0.022 (−0.107 to 0.063, P = 0.61), and permuting coverage 999 times within province × 500 m elevation strata places the observed within-stratum correlation (ρ = −0.013) squarely inside the null envelope (P = 0.48). What the network does lack is monitoring: crossing the upper tercile of warming with the lower tercile of recent birding effort identifies 39.3 × 10⁴ km² inside existing reserves, where standardised monitoring could be grafted onto existing management, and 160.3 × 10⁴ km² outside any mapped reserve, where new survey capacity would be required.</w:t>
      </w:r>
    </w:p>
    <w:p>
      <w:pPr>
        <w:pStyle w:val="BodyText"/>
      </w:pPr>
      <w:r>
        <w:t xml:space="preserve">All statements in this section apply only to the 1,028 mapped, predominantly national-level reserves established before 2012; the vector layer excludes the national parks designated from 2021, nature parks, and the ecological conservation red lines. Because reserve status has almost no temporal variation within the study window — none of the 172 inside-reserve events pre-dates its host reserve’s designation — we make no causal claim and report no before–after or difference-in-differences estimate.</w:t>
      </w:r>
    </w:p>
    <w:p>
      <w:r>
        <w:pict>
          <v:rect style="width:0;height:1.5pt" o:hralign="center" o:hrstd="t" o:hr="t"/>
        </w:pict>
      </w:r>
    </w:p>
    <w:bookmarkEnd w:id="18"/>
    <w:bookmarkEnd w:id="19"/>
    <w:bookmarkStart w:id="30" w:name="supplementary-tables"/>
    <w:p>
      <w:pPr>
        <w:pStyle w:val="Heading2"/>
      </w:pPr>
      <w:r>
        <w:t xml:space="preserve">Supplementary Tables</w:t>
      </w:r>
    </w:p>
    <w:bookmarkStart w:id="20" w:name="Xeef03a14860b1c6994c3520ca371d0d471fa841"/>
    <w:p>
      <w:pPr>
        <w:pStyle w:val="Heading3"/>
      </w:pPr>
      <w:r>
        <w:t xml:space="preserve">Supplementary Table S1. Step-by-step decomposition S0–S5</w:t>
      </w:r>
    </w:p>
    <w:p>
      <w:pPr>
        <w:pStyle w:val="FirstParagraph"/>
      </w:pPr>
      <w:r>
        <w:t xml:space="preserve">Step-by-step decomposition from the previously published specification to the corrected main model.</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990"/>
        <w:gridCol w:w="990"/>
        <w:gridCol w:w="990"/>
        <w:gridCol w:w="990"/>
        <w:gridCol w:w="990"/>
        <w:gridCol w:w="990"/>
        <w:gridCol w:w="990"/>
        <w:gridCol w:w="990"/>
      </w:tblGrid>
      <w:tr>
        <w:trPr>
          <w:tblHeader w:val="on"/>
        </w:trPr>
        <w:tc>
          <w:tcPr/>
          <w:p>
            <w:pPr>
              <w:pStyle w:val="Compact"/>
              <w:spacing w:line="240" w:lineRule="auto" w:after="0"/>
            </w:pPr>
            <w:r>
              <w:rPr>
                <w:rFonts w:ascii="Times New Roman" w:hAnsi="Times New Roman"/>
                <w:sz w:val="16"/>
              </w:rPr>
              <w:t xml:space="preserve">Step</w:t>
            </w:r>
          </w:p>
        </w:tc>
        <w:tc>
          <w:tcPr/>
          <w:p>
            <w:pPr>
              <w:pStyle w:val="Compact"/>
              <w:spacing w:line="240" w:lineRule="auto" w:after="0"/>
            </w:pPr>
            <w:r>
              <w:rPr>
                <w:rFonts w:ascii="Times New Roman" w:hAnsi="Times New Roman"/>
                <w:sz w:val="16"/>
              </w:rPr>
              <w:t xml:space="preserve">Change</w:t>
            </w:r>
          </w:p>
        </w:tc>
        <w:tc>
          <w:tcPr/>
          <w:p>
            <w:pPr>
              <w:pStyle w:val="Compact"/>
              <w:spacing w:line="240" w:lineRule="auto" w:after="0"/>
            </w:pPr>
            <w:r>
              <w:rPr>
                <w:rFonts w:ascii="Times New Roman" w:hAnsi="Times New Roman"/>
                <w:i/>
                <w:iCs/>
                <w:sz w:val="16"/>
              </w:rPr>
              <w:t xml:space="preserve">n</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HR effort</w:t>
            </w:r>
          </w:p>
        </w:tc>
        <w:tc>
          <w:tcPr/>
          <w:p>
            <w:pPr>
              <w:pStyle w:val="Compact"/>
              <w:spacing w:line="240" w:lineRule="auto" w:after="0"/>
            </w:pPr>
            <w:r>
              <w:rPr>
                <w:rFonts w:ascii="Times New Roman" w:hAnsi="Times New Roman"/>
                <w:sz w:val="16"/>
              </w:rPr>
              <w:t xml:space="preserve">HR warming</w:t>
            </w:r>
          </w:p>
        </w:tc>
        <w:tc>
          <w:tcPr/>
          <w:p>
            <w:pPr>
              <w:pStyle w:val="Compact"/>
              <w:spacing w:line="240" w:lineRule="auto" w:after="0"/>
            </w:pPr>
            <w:r>
              <w:rPr>
                <w:rFonts w:ascii="Times New Roman" w:hAnsi="Times New Roman"/>
                <w:sz w:val="16"/>
              </w:rPr>
              <w:t xml:space="preserve">HR variability</w:t>
            </w:r>
          </w:p>
        </w:tc>
        <w:tc>
          <w:tcPr/>
          <w:p>
            <w:pPr>
              <w:pStyle w:val="Compact"/>
              <w:spacing w:line="240" w:lineRule="auto" w:after="0"/>
            </w:pPr>
            <w:r>
              <w:rPr>
                <w:rFonts w:ascii="Times New Roman" w:hAnsi="Times New Roman"/>
                <w:sz w:val="16"/>
              </w:rPr>
              <w:t xml:space="preserve">HR interaction</w:t>
            </w:r>
          </w:p>
        </w:tc>
      </w:tr>
      <w:tr>
        <w:tc>
          <w:tcPr/>
          <w:p>
            <w:pPr>
              <w:pStyle w:val="Compact"/>
              <w:spacing w:line="240" w:lineRule="auto" w:after="0"/>
            </w:pPr>
            <w:r>
              <w:rPr>
                <w:rFonts w:ascii="Times New Roman" w:hAnsi="Times New Roman"/>
                <w:sz w:val="16"/>
              </w:rPr>
              <w:t xml:space="preserve">S0</w:t>
            </w:r>
          </w:p>
        </w:tc>
        <w:tc>
          <w:tcPr/>
          <w:p>
            <w:pPr>
              <w:pStyle w:val="Compact"/>
              <w:spacing w:line="240" w:lineRule="auto" w:after="0"/>
            </w:pPr>
            <w:r>
              <w:rPr>
                <w:rFonts w:ascii="Times New Roman" w:hAnsi="Times New Roman"/>
                <w:sz w:val="16"/>
              </w:rPr>
              <w:t xml:space="preserve">previously published</w:t>
            </w:r>
          </w:p>
        </w:tc>
        <w:tc>
          <w:tcPr/>
          <w:p>
            <w:pPr>
              <w:pStyle w:val="Compact"/>
              <w:spacing w:line="240" w:lineRule="auto" w:after="0"/>
            </w:pPr>
            <w:r>
              <w:rPr>
                <w:rFonts w:ascii="Times New Roman" w:hAnsi="Times New Roman"/>
                <w:sz w:val="16"/>
              </w:rPr>
              <w:t xml:space="preserve">182,485</w:t>
            </w:r>
          </w:p>
        </w:tc>
        <w:tc>
          <w:tcPr/>
          <w:p>
            <w:pPr>
              <w:pStyle w:val="Compact"/>
              <w:spacing w:line="240" w:lineRule="auto" w:after="0"/>
            </w:pPr>
            <w:r>
              <w:rPr>
                <w:rFonts w:ascii="Times New Roman" w:hAnsi="Times New Roman"/>
                <w:sz w:val="16"/>
              </w:rPr>
              <w:t xml:space="preserve">655</w:t>
            </w:r>
          </w:p>
        </w:tc>
        <w:tc>
          <w:tcPr/>
          <w:p>
            <w:pPr>
              <w:pStyle w:val="Compact"/>
              <w:spacing w:line="240" w:lineRule="auto" w:after="0"/>
            </w:pPr>
            <w:r>
              <w:rPr>
                <w:rFonts w:ascii="Times New Roman" w:hAnsi="Times New Roman"/>
                <w:sz w:val="16"/>
              </w:rPr>
              <w:t xml:space="preserve">1.788</w:t>
            </w:r>
          </w:p>
        </w:tc>
        <w:tc>
          <w:tcPr/>
          <w:p>
            <w:pPr>
              <w:pStyle w:val="Compact"/>
              <w:spacing w:line="240" w:lineRule="auto" w:after="0"/>
            </w:pPr>
            <w:r>
              <w:rPr>
                <w:rFonts w:ascii="Times New Roman" w:hAnsi="Times New Roman"/>
                <w:sz w:val="16"/>
              </w:rPr>
              <w:t xml:space="preserve">1.394</w:t>
            </w:r>
          </w:p>
        </w:tc>
        <w:tc>
          <w:tcPr/>
          <w:p>
            <w:pPr>
              <w:pStyle w:val="Compact"/>
              <w:spacing w:line="240" w:lineRule="auto" w:after="0"/>
            </w:pPr>
            <w:r>
              <w:rPr>
                <w:rFonts w:ascii="Times New Roman" w:hAnsi="Times New Roman"/>
                <w:sz w:val="16"/>
              </w:rPr>
              <w:t xml:space="preserve">0.850</w:t>
            </w:r>
          </w:p>
        </w:tc>
        <w:tc>
          <w:tcPr/>
          <w:p>
            <w:pPr>
              <w:pStyle w:val="Compact"/>
              <w:spacing w:line="240" w:lineRule="auto" w:after="0"/>
            </w:pPr>
            <w:r>
              <w:rPr>
                <w:rFonts w:ascii="Times New Roman" w:hAnsi="Times New Roman"/>
                <w:sz w:val="16"/>
              </w:rPr>
              <w:t xml:space="preserve">0.876</w:t>
            </w:r>
          </w:p>
        </w:tc>
      </w:tr>
      <w:tr>
        <w:tc>
          <w:tcPr/>
          <w:p>
            <w:pPr>
              <w:pStyle w:val="Compact"/>
              <w:spacing w:line="240" w:lineRule="auto" w:after="0"/>
            </w:pPr>
            <w:r>
              <w:rPr>
                <w:rFonts w:ascii="Times New Roman" w:hAnsi="Times New Roman"/>
                <w:sz w:val="16"/>
              </w:rPr>
              <w:t xml:space="preserve">S1</w:t>
            </w:r>
          </w:p>
        </w:tc>
        <w:tc>
          <w:tcPr/>
          <w:p>
            <w:pPr>
              <w:pStyle w:val="Compact"/>
              <w:spacing w:line="240" w:lineRule="auto" w:after="0"/>
            </w:pPr>
            <w:r>
              <w:rPr>
                <w:rFonts w:ascii="Times New Roman" w:hAnsi="Times New Roman"/>
                <w:sz w:val="16"/>
              </w:rPr>
              <w:t xml:space="preserve">+ discovery-year dating</w:t>
            </w:r>
          </w:p>
        </w:tc>
        <w:tc>
          <w:tcPr/>
          <w:p>
            <w:pPr>
              <w:pStyle w:val="Compact"/>
              <w:spacing w:line="240" w:lineRule="auto" w:after="0"/>
            </w:pPr>
            <w:r>
              <w:rPr>
                <w:rFonts w:ascii="Times New Roman" w:hAnsi="Times New Roman"/>
                <w:sz w:val="16"/>
              </w:rPr>
              <w:t xml:space="preserve">181,134</w:t>
            </w:r>
          </w:p>
        </w:tc>
        <w:tc>
          <w:tcPr/>
          <w:p>
            <w:pPr>
              <w:pStyle w:val="Compact"/>
              <w:spacing w:line="240" w:lineRule="auto" w:after="0"/>
            </w:pPr>
            <w:r>
              <w:rPr>
                <w:rFonts w:ascii="Times New Roman" w:hAnsi="Times New Roman"/>
                <w:sz w:val="16"/>
              </w:rPr>
              <w:t xml:space="preserve">646</w:t>
            </w:r>
          </w:p>
        </w:tc>
        <w:tc>
          <w:tcPr/>
          <w:p>
            <w:pPr>
              <w:pStyle w:val="Compact"/>
              <w:spacing w:line="240" w:lineRule="auto" w:after="0"/>
            </w:pPr>
            <w:r>
              <w:rPr>
                <w:rFonts w:ascii="Times New Roman" w:hAnsi="Times New Roman"/>
                <w:sz w:val="16"/>
              </w:rPr>
              <w:t xml:space="preserve">1.305</w:t>
            </w:r>
          </w:p>
        </w:tc>
        <w:tc>
          <w:tcPr/>
          <w:p>
            <w:pPr>
              <w:pStyle w:val="Compact"/>
              <w:spacing w:line="240" w:lineRule="auto" w:after="0"/>
            </w:pPr>
            <w:r>
              <w:rPr>
                <w:rFonts w:ascii="Times New Roman" w:hAnsi="Times New Roman"/>
                <w:sz w:val="16"/>
              </w:rPr>
              <w:t xml:space="preserve">1.437</w:t>
            </w:r>
          </w:p>
        </w:tc>
        <w:tc>
          <w:tcPr/>
          <w:p>
            <w:pPr>
              <w:pStyle w:val="Compact"/>
              <w:spacing w:line="240" w:lineRule="auto" w:after="0"/>
            </w:pPr>
            <w:r>
              <w:rPr>
                <w:rFonts w:ascii="Times New Roman" w:hAnsi="Times New Roman"/>
                <w:sz w:val="16"/>
              </w:rPr>
              <w:t xml:space="preserve">0.971</w:t>
            </w:r>
          </w:p>
        </w:tc>
        <w:tc>
          <w:tcPr/>
          <w:p>
            <w:pPr>
              <w:pStyle w:val="Compact"/>
              <w:spacing w:line="240" w:lineRule="auto" w:after="0"/>
            </w:pPr>
            <w:r>
              <w:rPr>
                <w:rFonts w:ascii="Times New Roman" w:hAnsi="Times New Roman"/>
                <w:sz w:val="16"/>
              </w:rPr>
              <w:t xml:space="preserve">0.859</w:t>
            </w:r>
          </w:p>
        </w:tc>
      </w:tr>
      <w:tr>
        <w:tc>
          <w:tcPr/>
          <w:p>
            <w:pPr>
              <w:pStyle w:val="Compact"/>
              <w:spacing w:line="240" w:lineRule="auto" w:after="0"/>
            </w:pPr>
            <w:r>
              <w:rPr>
                <w:rFonts w:ascii="Times New Roman" w:hAnsi="Times New Roman"/>
                <w:sz w:val="16"/>
              </w:rPr>
              <w:t xml:space="preserve">S2</w:t>
            </w:r>
          </w:p>
        </w:tc>
        <w:tc>
          <w:tcPr/>
          <w:p>
            <w:pPr>
              <w:pStyle w:val="Compact"/>
              <w:spacing w:line="240" w:lineRule="auto" w:after="0"/>
            </w:pPr>
            <w:r>
              <w:rPr>
                <w:rFonts w:ascii="Times New Roman" w:hAnsi="Times New Roman"/>
                <w:sz w:val="16"/>
              </w:rPr>
              <w:t xml:space="preserve">+ coverage-gap effort</w:t>
            </w:r>
          </w:p>
        </w:tc>
        <w:tc>
          <w:tcPr/>
          <w:p>
            <w:pPr>
              <w:pStyle w:val="Compact"/>
              <w:spacing w:line="240" w:lineRule="auto" w:after="0"/>
            </w:pPr>
            <w:r>
              <w:rPr>
                <w:rFonts w:ascii="Times New Roman" w:hAnsi="Times New Roman"/>
                <w:sz w:val="16"/>
              </w:rPr>
              <w:t xml:space="preserve">175,686</w:t>
            </w:r>
          </w:p>
        </w:tc>
        <w:tc>
          <w:tcPr/>
          <w:p>
            <w:pPr>
              <w:pStyle w:val="Compact"/>
              <w:spacing w:line="240" w:lineRule="auto" w:after="0"/>
            </w:pPr>
            <w:r>
              <w:rPr>
                <w:rFonts w:ascii="Times New Roman" w:hAnsi="Times New Roman"/>
                <w:sz w:val="16"/>
              </w:rPr>
              <w:t xml:space="preserve">638</w:t>
            </w:r>
          </w:p>
        </w:tc>
        <w:tc>
          <w:tcPr/>
          <w:p>
            <w:pPr>
              <w:pStyle w:val="Compact"/>
              <w:spacing w:line="240" w:lineRule="auto" w:after="0"/>
            </w:pPr>
            <w:r>
              <w:rPr>
                <w:rFonts w:ascii="Times New Roman" w:hAnsi="Times New Roman"/>
                <w:sz w:val="16"/>
              </w:rPr>
              <w:t xml:space="preserve">1.267</w:t>
            </w:r>
          </w:p>
        </w:tc>
        <w:tc>
          <w:tcPr/>
          <w:p>
            <w:pPr>
              <w:pStyle w:val="Compact"/>
              <w:spacing w:line="240" w:lineRule="auto" w:after="0"/>
            </w:pPr>
            <w:r>
              <w:rPr>
                <w:rFonts w:ascii="Times New Roman" w:hAnsi="Times New Roman"/>
                <w:sz w:val="16"/>
              </w:rPr>
              <w:t xml:space="preserve">1.432</w:t>
            </w:r>
          </w:p>
        </w:tc>
        <w:tc>
          <w:tcPr/>
          <w:p>
            <w:pPr>
              <w:pStyle w:val="Compact"/>
              <w:spacing w:line="240" w:lineRule="auto" w:after="0"/>
            </w:pPr>
            <w:r>
              <w:rPr>
                <w:rFonts w:ascii="Times New Roman" w:hAnsi="Times New Roman"/>
                <w:sz w:val="16"/>
              </w:rPr>
              <w:t xml:space="preserve">0.958</w:t>
            </w:r>
          </w:p>
        </w:tc>
        <w:tc>
          <w:tcPr/>
          <w:p>
            <w:pPr>
              <w:pStyle w:val="Compact"/>
              <w:spacing w:line="240" w:lineRule="auto" w:after="0"/>
            </w:pPr>
            <w:r>
              <w:rPr>
                <w:rFonts w:ascii="Times New Roman" w:hAnsi="Times New Roman"/>
                <w:sz w:val="16"/>
              </w:rPr>
              <w:t xml:space="preserve">0.863</w:t>
            </w:r>
          </w:p>
        </w:tc>
      </w:tr>
      <w:tr>
        <w:tc>
          <w:tcPr/>
          <w:p>
            <w:pPr>
              <w:pStyle w:val="Compact"/>
              <w:spacing w:line="240" w:lineRule="auto" w:after="0"/>
            </w:pPr>
            <w:r>
              <w:rPr>
                <w:rFonts w:ascii="Times New Roman" w:hAnsi="Times New Roman"/>
                <w:sz w:val="16"/>
              </w:rPr>
              <w:t xml:space="preserve">S3</w:t>
            </w:r>
          </w:p>
        </w:tc>
        <w:tc>
          <w:tcPr/>
          <w:p>
            <w:pPr>
              <w:pStyle w:val="Compact"/>
              <w:spacing w:line="240" w:lineRule="auto" w:after="0"/>
            </w:pPr>
            <w:r>
              <w:rPr>
                <w:rFonts w:ascii="Times New Roman" w:hAnsi="Times New Roman"/>
                <w:sz w:val="16"/>
              </w:rPr>
              <w:t xml:space="preserve">+ area-weighted climate</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1.289</w:t>
            </w:r>
          </w:p>
        </w:tc>
        <w:tc>
          <w:tcPr/>
          <w:p>
            <w:pPr>
              <w:pStyle w:val="Compact"/>
              <w:spacing w:line="240" w:lineRule="auto" w:after="0"/>
            </w:pPr>
            <w:r>
              <w:rPr>
                <w:rFonts w:ascii="Times New Roman" w:hAnsi="Times New Roman"/>
                <w:sz w:val="16"/>
              </w:rPr>
              <w:t xml:space="preserve">1.432</w:t>
            </w:r>
          </w:p>
        </w:tc>
        <w:tc>
          <w:tcPr/>
          <w:p>
            <w:pPr>
              <w:pStyle w:val="Compact"/>
              <w:spacing w:line="240" w:lineRule="auto" w:after="0"/>
            </w:pPr>
            <w:r>
              <w:rPr>
                <w:rFonts w:ascii="Times New Roman" w:hAnsi="Times New Roman"/>
                <w:sz w:val="16"/>
              </w:rPr>
              <w:t xml:space="preserve">0.958</w:t>
            </w:r>
          </w:p>
        </w:tc>
        <w:tc>
          <w:tcPr/>
          <w:p>
            <w:pPr>
              <w:pStyle w:val="Compact"/>
              <w:spacing w:line="240" w:lineRule="auto" w:after="0"/>
            </w:pPr>
            <w:r>
              <w:rPr>
                <w:rFonts w:ascii="Times New Roman" w:hAnsi="Times New Roman"/>
                <w:sz w:val="16"/>
              </w:rPr>
              <w:t xml:space="preserve">0.863</w:t>
            </w:r>
          </w:p>
        </w:tc>
      </w:tr>
      <w:tr>
        <w:tc>
          <w:tcPr/>
          <w:p>
            <w:pPr>
              <w:pStyle w:val="Compact"/>
              <w:spacing w:line="240" w:lineRule="auto" w:after="0"/>
            </w:pPr>
            <w:r>
              <w:rPr>
                <w:rFonts w:ascii="Times New Roman" w:hAnsi="Times New Roman"/>
                <w:sz w:val="16"/>
              </w:rPr>
              <w:t xml:space="preserve">S4</w:t>
            </w:r>
          </w:p>
        </w:tc>
        <w:tc>
          <w:tcPr/>
          <w:p>
            <w:pPr>
              <w:pStyle w:val="Compact"/>
              <w:spacing w:line="240" w:lineRule="auto" w:after="0"/>
            </w:pPr>
            <w:r>
              <w:rPr>
                <w:rFonts w:ascii="Times New Roman" w:hAnsi="Times New Roman"/>
                <w:sz w:val="16"/>
              </w:rPr>
              <w:t xml:space="preserve">+ completeness offset</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1.448</w:t>
            </w:r>
          </w:p>
        </w:tc>
        <w:tc>
          <w:tcPr/>
          <w:p>
            <w:pPr>
              <w:pStyle w:val="Compact"/>
              <w:spacing w:line="240" w:lineRule="auto" w:after="0"/>
            </w:pPr>
            <w:r>
              <w:rPr>
                <w:rFonts w:ascii="Times New Roman" w:hAnsi="Times New Roman"/>
                <w:sz w:val="16"/>
              </w:rPr>
              <w:t xml:space="preserve">1.428</w:t>
            </w:r>
          </w:p>
        </w:tc>
        <w:tc>
          <w:tcPr/>
          <w:p>
            <w:pPr>
              <w:pStyle w:val="Compact"/>
              <w:spacing w:line="240" w:lineRule="auto" w:after="0"/>
            </w:pPr>
            <w:r>
              <w:rPr>
                <w:rFonts w:ascii="Times New Roman" w:hAnsi="Times New Roman"/>
                <w:sz w:val="16"/>
              </w:rPr>
              <w:t xml:space="preserve">0.962</w:t>
            </w:r>
          </w:p>
        </w:tc>
        <w:tc>
          <w:tcPr/>
          <w:p>
            <w:pPr>
              <w:pStyle w:val="Compact"/>
              <w:spacing w:line="240" w:lineRule="auto" w:after="0"/>
            </w:pPr>
            <w:r>
              <w:rPr>
                <w:rFonts w:ascii="Times New Roman" w:hAnsi="Times New Roman"/>
                <w:sz w:val="16"/>
              </w:rPr>
              <w:t xml:space="preserve">0.862</w:t>
            </w:r>
          </w:p>
        </w:tc>
      </w:tr>
      <w:tr>
        <w:tc>
          <w:tcPr/>
          <w:p>
            <w:pPr>
              <w:pStyle w:val="Compact"/>
              <w:spacing w:line="240" w:lineRule="auto" w:after="0"/>
            </w:pPr>
            <w:r>
              <w:rPr>
                <w:rFonts w:ascii="Times New Roman" w:hAnsi="Times New Roman"/>
                <w:sz w:val="16"/>
              </w:rPr>
              <w:t xml:space="preserve">S5</w:t>
            </w:r>
          </w:p>
        </w:tc>
        <w:tc>
          <w:tcPr/>
          <w:p>
            <w:pPr>
              <w:pStyle w:val="Compact"/>
              <w:spacing w:line="240" w:lineRule="auto" w:after="0"/>
            </w:pPr>
            <w:r>
              <w:rPr>
                <w:rFonts w:ascii="Times New Roman" w:hAnsi="Times New Roman"/>
                <w:sz w:val="16"/>
              </w:rPr>
              <w:t xml:space="preserve">+ province × year effect</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b/>
                <w:bCs/>
                <w:sz w:val="16"/>
              </w:rPr>
              <w:t xml:space="preserve">1.404</w:t>
            </w:r>
          </w:p>
        </w:tc>
        <w:tc>
          <w:tcPr/>
          <w:p>
            <w:pPr>
              <w:pStyle w:val="Compact"/>
              <w:spacing w:line="240" w:lineRule="auto" w:after="0"/>
            </w:pPr>
            <w:r>
              <w:rPr>
                <w:rFonts w:ascii="Times New Roman" w:hAnsi="Times New Roman"/>
                <w:b/>
                <w:bCs/>
                <w:sz w:val="16"/>
              </w:rPr>
              <w:t xml:space="preserve">1.362</w:t>
            </w:r>
          </w:p>
        </w:tc>
        <w:tc>
          <w:tcPr/>
          <w:p>
            <w:pPr>
              <w:pStyle w:val="Compact"/>
              <w:spacing w:line="240" w:lineRule="auto" w:after="0"/>
            </w:pPr>
            <w:r>
              <w:rPr>
                <w:rFonts w:ascii="Times New Roman" w:hAnsi="Times New Roman"/>
                <w:b/>
                <w:bCs/>
                <w:sz w:val="16"/>
              </w:rPr>
              <w:t xml:space="preserve">0.995</w:t>
            </w:r>
          </w:p>
        </w:tc>
        <w:tc>
          <w:tcPr/>
          <w:p>
            <w:pPr>
              <w:pStyle w:val="Compact"/>
              <w:spacing w:line="240" w:lineRule="auto" w:after="0"/>
            </w:pPr>
            <w:r>
              <w:rPr>
                <w:rFonts w:ascii="Times New Roman" w:hAnsi="Times New Roman"/>
                <w:b/>
                <w:bCs/>
                <w:sz w:val="16"/>
              </w:rPr>
              <w:t xml:space="preserve">0.849</w:t>
            </w:r>
          </w:p>
        </w:tc>
      </w:tr>
    </w:tbl>
    <w:bookmarkEnd w:id="20"/>
    <w:bookmarkStart w:id="21" w:name="Xb70188ef532201944d49d42060ed88eee9a06d0"/>
    <w:p>
      <w:pPr>
        <w:pStyle w:val="Heading3"/>
      </w:pPr>
      <w:r>
        <w:t xml:space="preserve">Supplementary Table S2. Random-effect structure comparison on four criteria</w:t>
      </w:r>
    </w:p>
    <w:p>
      <w:pPr>
        <w:pStyle w:val="FirstParagraph"/>
      </w:pPr>
      <w:r>
        <w:t xml:space="preserve">Random-effect structure comparison on four criteria.</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990"/>
        <w:gridCol w:w="990"/>
        <w:gridCol w:w="990"/>
        <w:gridCol w:w="990"/>
        <w:gridCol w:w="990"/>
        <w:gridCol w:w="990"/>
        <w:gridCol w:w="990"/>
        <w:gridCol w:w="990"/>
      </w:tblGrid>
      <w:tr>
        <w:trPr>
          <w:tblHeader w:val="on"/>
        </w:trPr>
        <w:tc>
          <w:tcPr/>
          <w:p>
            <w:pPr>
              <w:pStyle w:val="Compact"/>
              <w:spacing w:line="240" w:lineRule="auto" w:after="0"/>
            </w:pPr>
            <w:r>
              <w:rPr>
                <w:rFonts w:ascii="Times New Roman" w:hAnsi="Times New Roman"/>
                <w:sz w:val="16"/>
              </w:rPr>
              <w:t xml:space="preserve">Structure</w:t>
            </w:r>
          </w:p>
        </w:tc>
        <w:tc>
          <w:tcPr/>
          <w:p>
            <w:pPr>
              <w:pStyle w:val="Compact"/>
              <w:spacing w:line="240" w:lineRule="auto" w:after="0"/>
            </w:pPr>
            <w:r>
              <w:rPr>
                <w:rFonts w:ascii="Times New Roman" w:hAnsi="Times New Roman"/>
                <w:sz w:val="16"/>
              </w:rPr>
              <w:t xml:space="preserve">ΔAIC</w:t>
            </w:r>
          </w:p>
        </w:tc>
        <w:tc>
          <w:tcPr/>
          <w:p>
            <w:pPr>
              <w:pStyle w:val="Compact"/>
              <w:spacing w:line="240" w:lineRule="auto" w:after="0"/>
            </w:pPr>
            <w:r>
              <w:rPr>
                <w:rFonts w:ascii="Times New Roman" w:hAnsi="Times New Roman"/>
                <w:sz w:val="16"/>
              </w:rPr>
              <w:t xml:space="preserve">McFadden</w:t>
            </w:r>
            <w:r>
              <w:rPr>
                <w:rFonts w:ascii="Times New Roman" w:hAnsi="Times New Roman"/>
                <w:sz w:val="16"/>
              </w:rPr>
              <w:t xml:space="preserve"> </w:t>
            </w:r>
            <w:r>
              <w:rPr>
                <w:rFonts w:ascii="Times New Roman" w:hAnsi="Times New Roman"/>
                <w:i/>
                <w:iCs/>
                <w:sz w:val="16"/>
              </w:rPr>
              <w:t xml:space="preserve">R</w:t>
            </w:r>
            <w:r>
              <w:rPr>
                <w:rFonts w:ascii="Times New Roman" w:hAnsi="Times New Roman"/>
                <w:sz w:val="16"/>
              </w:rPr>
              <w:t xml:space="preserve">²</w:t>
            </w:r>
          </w:p>
        </w:tc>
        <w:tc>
          <w:tcPr/>
          <w:p>
            <w:pPr>
              <w:pStyle w:val="Compact"/>
              <w:spacing w:line="240" w:lineRule="auto" w:after="0"/>
            </w:pPr>
            <w:r>
              <w:rPr>
                <w:rFonts w:ascii="Times New Roman" w:hAnsi="Times New Roman"/>
                <w:sz w:val="16"/>
              </w:rPr>
              <w:t xml:space="preserve">Marginal</w:t>
            </w:r>
            <w:r>
              <w:rPr>
                <w:rFonts w:ascii="Times New Roman" w:hAnsi="Times New Roman"/>
                <w:sz w:val="16"/>
              </w:rPr>
              <w:t xml:space="preserve"> </w:t>
            </w:r>
            <w:r>
              <w:rPr>
                <w:rFonts w:ascii="Times New Roman" w:hAnsi="Times New Roman"/>
                <w:i/>
                <w:iCs/>
                <w:sz w:val="16"/>
              </w:rPr>
              <w:t xml:space="preserve">R</w:t>
            </w:r>
            <w:r>
              <w:rPr>
                <w:rFonts w:ascii="Times New Roman" w:hAnsi="Times New Roman"/>
                <w:sz w:val="16"/>
              </w:rPr>
              <w:t xml:space="preserve">²</w:t>
            </w:r>
          </w:p>
        </w:tc>
        <w:tc>
          <w:tcPr/>
          <w:p>
            <w:pPr>
              <w:pStyle w:val="Compact"/>
              <w:spacing w:line="240" w:lineRule="auto" w:after="0"/>
            </w:pPr>
            <w:r>
              <w:rPr>
                <w:rFonts w:ascii="Times New Roman" w:hAnsi="Times New Roman"/>
                <w:sz w:val="16"/>
              </w:rPr>
              <w:t xml:space="preserve">Conditional</w:t>
            </w:r>
            <w:r>
              <w:rPr>
                <w:rFonts w:ascii="Times New Roman" w:hAnsi="Times New Roman"/>
                <w:sz w:val="16"/>
              </w:rPr>
              <w:t xml:space="preserve"> </w:t>
            </w:r>
            <w:r>
              <w:rPr>
                <w:rFonts w:ascii="Times New Roman" w:hAnsi="Times New Roman"/>
                <w:i/>
                <w:iCs/>
                <w:sz w:val="16"/>
              </w:rPr>
              <w:t xml:space="preserve">R</w:t>
            </w:r>
            <w:r>
              <w:rPr>
                <w:rFonts w:ascii="Times New Roman" w:hAnsi="Times New Roman"/>
                <w:sz w:val="16"/>
              </w:rPr>
              <w:t xml:space="preserve">²</w:t>
            </w:r>
          </w:p>
        </w:tc>
        <w:tc>
          <w:tcPr/>
          <w:p>
            <w:pPr>
              <w:pStyle w:val="Compact"/>
              <w:spacing w:line="240" w:lineRule="auto" w:after="0"/>
            </w:pPr>
            <w:r>
              <w:rPr>
                <w:rFonts w:ascii="Times New Roman" w:hAnsi="Times New Roman"/>
                <w:sz w:val="16"/>
              </w:rPr>
              <w:t xml:space="preserve">Marginal AUC</w:t>
            </w:r>
          </w:p>
        </w:tc>
        <w:tc>
          <w:tcPr/>
          <w:p>
            <w:pPr>
              <w:pStyle w:val="Compact"/>
              <w:spacing w:line="240" w:lineRule="auto" w:after="0"/>
            </w:pPr>
            <w:r>
              <w:rPr>
                <w:rFonts w:ascii="Times New Roman" w:hAnsi="Times New Roman"/>
                <w:sz w:val="16"/>
              </w:rPr>
              <w:t xml:space="preserve">Conditional AUC</w:t>
            </w:r>
          </w:p>
        </w:tc>
        <w:tc>
          <w:tcPr/>
          <w:p>
            <w:pPr>
              <w:pStyle w:val="Compact"/>
              <w:spacing w:line="240" w:lineRule="auto" w:after="0"/>
            </w:pPr>
            <w:r>
              <w:rPr>
                <w:rFonts w:ascii="Times New Roman" w:hAnsi="Times New Roman"/>
                <w:sz w:val="16"/>
              </w:rPr>
              <w:t xml:space="preserve">ICC</w:t>
            </w:r>
          </w:p>
        </w:tc>
      </w:tr>
      <w:tr>
        <w:tc>
          <w:tcPr/>
          <w:p>
            <w:pPr>
              <w:pStyle w:val="Compact"/>
              <w:spacing w:line="240" w:lineRule="auto" w:after="0"/>
            </w:pPr>
            <w:r>
              <w:rPr>
                <w:rFonts w:ascii="Times New Roman" w:hAnsi="Times New Roman"/>
                <w:sz w:val="16"/>
              </w:rPr>
              <w:t xml:space="preserve">species</w:t>
            </w:r>
          </w:p>
        </w:tc>
        <w:tc>
          <w:tcPr/>
          <w:p>
            <w:pPr>
              <w:pStyle w:val="Compact"/>
              <w:spacing w:line="240" w:lineRule="auto" w:after="0"/>
            </w:pPr>
            <w:r>
              <w:rPr>
                <w:rFonts w:ascii="Times New Roman" w:hAnsi="Times New Roman"/>
                <w:sz w:val="16"/>
              </w:rPr>
              <w:t xml:space="preserve">163.1</w:t>
            </w:r>
          </w:p>
        </w:tc>
        <w:tc>
          <w:tcPr/>
          <w:p>
            <w:pPr>
              <w:pStyle w:val="Compact"/>
              <w:spacing w:line="240" w:lineRule="auto" w:after="0"/>
            </w:pPr>
            <w:r>
              <w:rPr>
                <w:rFonts w:ascii="Times New Roman" w:hAnsi="Times New Roman"/>
                <w:sz w:val="16"/>
              </w:rPr>
              <w:t xml:space="preserve">0.0142</w:t>
            </w:r>
          </w:p>
        </w:tc>
        <w:tc>
          <w:tcPr/>
          <w:p>
            <w:pPr>
              <w:pStyle w:val="Compact"/>
              <w:spacing w:line="240" w:lineRule="auto" w:after="0"/>
            </w:pPr>
            <w:r>
              <w:rPr>
                <w:rFonts w:ascii="Times New Roman" w:hAnsi="Times New Roman"/>
                <w:sz w:val="16"/>
              </w:rPr>
              <w:t xml:space="preserve">0.108</w:t>
            </w:r>
          </w:p>
        </w:tc>
        <w:tc>
          <w:tcPr/>
          <w:p>
            <w:pPr>
              <w:pStyle w:val="Compact"/>
              <w:spacing w:line="240" w:lineRule="auto" w:after="0"/>
            </w:pPr>
            <w:r>
              <w:rPr>
                <w:rFonts w:ascii="Times New Roman" w:hAnsi="Times New Roman"/>
                <w:sz w:val="16"/>
              </w:rPr>
              <w:t xml:space="preserve">0.183</w:t>
            </w:r>
          </w:p>
        </w:tc>
        <w:tc>
          <w:tcPr/>
          <w:p>
            <w:pPr>
              <w:pStyle w:val="Compact"/>
              <w:spacing w:line="240" w:lineRule="auto" w:after="0"/>
            </w:pPr>
            <w:r>
              <w:rPr>
                <w:rFonts w:ascii="Times New Roman" w:hAnsi="Times New Roman"/>
                <w:sz w:val="16"/>
              </w:rPr>
              <w:t xml:space="preserve">0.613</w:t>
            </w:r>
          </w:p>
        </w:tc>
        <w:tc>
          <w:tcPr/>
          <w:p>
            <w:pPr>
              <w:pStyle w:val="Compact"/>
              <w:spacing w:line="240" w:lineRule="auto" w:after="0"/>
            </w:pPr>
            <w:r>
              <w:rPr>
                <w:rFonts w:ascii="Times New Roman" w:hAnsi="Times New Roman"/>
                <w:sz w:val="16"/>
              </w:rPr>
              <w:t xml:space="preserve">0.687</w:t>
            </w:r>
          </w:p>
        </w:tc>
        <w:tc>
          <w:tcPr/>
          <w:p>
            <w:pPr>
              <w:pStyle w:val="Compact"/>
              <w:spacing w:line="240" w:lineRule="auto" w:after="0"/>
            </w:pPr>
            <w:r>
              <w:rPr>
                <w:rFonts w:ascii="Times New Roman" w:hAnsi="Times New Roman"/>
                <w:sz w:val="16"/>
              </w:rPr>
              <w:t xml:space="preserve">0.084</w:t>
            </w:r>
          </w:p>
        </w:tc>
      </w:tr>
      <w:tr>
        <w:tc>
          <w:tcPr/>
          <w:p>
            <w:pPr>
              <w:pStyle w:val="Compact"/>
              <w:spacing w:line="240" w:lineRule="auto" w:after="0"/>
            </w:pPr>
            <w:r>
              <w:rPr>
                <w:rFonts w:ascii="Times New Roman" w:hAnsi="Times New Roman"/>
                <w:sz w:val="16"/>
              </w:rPr>
              <w:t xml:space="preserve">species + province</w:t>
            </w:r>
          </w:p>
        </w:tc>
        <w:tc>
          <w:tcPr/>
          <w:p>
            <w:pPr>
              <w:pStyle w:val="Compact"/>
              <w:spacing w:line="240" w:lineRule="auto" w:after="0"/>
            </w:pPr>
            <w:r>
              <w:rPr>
                <w:rFonts w:ascii="Times New Roman" w:hAnsi="Times New Roman"/>
                <w:sz w:val="16"/>
              </w:rPr>
              <w:t xml:space="preserve">98.7</w:t>
            </w:r>
          </w:p>
        </w:tc>
        <w:tc>
          <w:tcPr/>
          <w:p>
            <w:pPr>
              <w:pStyle w:val="Compact"/>
              <w:spacing w:line="240" w:lineRule="auto" w:after="0"/>
            </w:pPr>
            <w:r>
              <w:rPr>
                <w:rFonts w:ascii="Times New Roman" w:hAnsi="Times New Roman"/>
                <w:sz w:val="16"/>
              </w:rPr>
              <w:t xml:space="preserve">0.0220</w:t>
            </w:r>
          </w:p>
        </w:tc>
        <w:tc>
          <w:tcPr/>
          <w:p>
            <w:pPr>
              <w:pStyle w:val="Compact"/>
              <w:spacing w:line="240" w:lineRule="auto" w:after="0"/>
            </w:pPr>
            <w:r>
              <w:rPr>
                <w:rFonts w:ascii="Times New Roman" w:hAnsi="Times New Roman"/>
                <w:sz w:val="16"/>
              </w:rPr>
              <w:t xml:space="preserve">0.124</w:t>
            </w:r>
          </w:p>
        </w:tc>
        <w:tc>
          <w:tcPr/>
          <w:p>
            <w:pPr>
              <w:pStyle w:val="Compact"/>
              <w:spacing w:line="240" w:lineRule="auto" w:after="0"/>
            </w:pPr>
            <w:r>
              <w:rPr>
                <w:rFonts w:ascii="Times New Roman" w:hAnsi="Times New Roman"/>
                <w:sz w:val="16"/>
              </w:rPr>
              <w:t xml:space="preserve">0.274</w:t>
            </w:r>
          </w:p>
        </w:tc>
        <w:tc>
          <w:tcPr/>
          <w:p>
            <w:pPr>
              <w:pStyle w:val="Compact"/>
              <w:spacing w:line="240" w:lineRule="auto" w:after="0"/>
            </w:pPr>
            <w:r>
              <w:rPr>
                <w:rFonts w:ascii="Times New Roman" w:hAnsi="Times New Roman"/>
                <w:sz w:val="16"/>
              </w:rPr>
              <w:t xml:space="preserve">0.612</w:t>
            </w:r>
          </w:p>
        </w:tc>
        <w:tc>
          <w:tcPr/>
          <w:p>
            <w:pPr>
              <w:pStyle w:val="Compact"/>
              <w:spacing w:line="240" w:lineRule="auto" w:after="0"/>
            </w:pPr>
            <w:r>
              <w:rPr>
                <w:rFonts w:ascii="Times New Roman" w:hAnsi="Times New Roman"/>
                <w:sz w:val="16"/>
              </w:rPr>
              <w:t xml:space="preserve">0.721</w:t>
            </w:r>
          </w:p>
        </w:tc>
        <w:tc>
          <w:tcPr/>
          <w:p>
            <w:pPr>
              <w:pStyle w:val="Compact"/>
              <w:spacing w:line="240" w:lineRule="auto" w:after="0"/>
            </w:pPr>
            <w:r>
              <w:rPr>
                <w:rFonts w:ascii="Times New Roman" w:hAnsi="Times New Roman"/>
                <w:sz w:val="16"/>
              </w:rPr>
              <w:t xml:space="preserve">0.172</w:t>
            </w:r>
          </w:p>
        </w:tc>
      </w:tr>
      <w:tr>
        <w:tc>
          <w:tcPr/>
          <w:p>
            <w:pPr>
              <w:pStyle w:val="Compact"/>
              <w:spacing w:line="240" w:lineRule="auto" w:after="0"/>
            </w:pPr>
            <w:r>
              <w:rPr>
                <w:rFonts w:ascii="Times New Roman" w:hAnsi="Times New Roman"/>
                <w:sz w:val="16"/>
              </w:rPr>
              <w:t xml:space="preserve">+ year</w:t>
            </w:r>
          </w:p>
        </w:tc>
        <w:tc>
          <w:tcPr/>
          <w:p>
            <w:pPr>
              <w:pStyle w:val="Compact"/>
              <w:spacing w:line="240" w:lineRule="auto" w:after="0"/>
            </w:pPr>
            <w:r>
              <w:rPr>
                <w:rFonts w:ascii="Times New Roman" w:hAnsi="Times New Roman"/>
                <w:sz w:val="16"/>
              </w:rPr>
              <w:t xml:space="preserve">74.8</w:t>
            </w:r>
          </w:p>
        </w:tc>
        <w:tc>
          <w:tcPr/>
          <w:p>
            <w:pPr>
              <w:pStyle w:val="Compact"/>
              <w:spacing w:line="240" w:lineRule="auto" w:after="0"/>
            </w:pPr>
            <w:r>
              <w:rPr>
                <w:rFonts w:ascii="Times New Roman" w:hAnsi="Times New Roman"/>
                <w:sz w:val="16"/>
              </w:rPr>
              <w:t xml:space="preserve">0.0250</w:t>
            </w:r>
          </w:p>
        </w:tc>
        <w:tc>
          <w:tcPr/>
          <w:p>
            <w:pPr>
              <w:pStyle w:val="Compact"/>
              <w:spacing w:line="240" w:lineRule="auto" w:after="0"/>
            </w:pPr>
            <w:r>
              <w:rPr>
                <w:rFonts w:ascii="Times New Roman" w:hAnsi="Times New Roman"/>
                <w:sz w:val="16"/>
              </w:rPr>
              <w:t xml:space="preserve">0.069</w:t>
            </w:r>
          </w:p>
        </w:tc>
        <w:tc>
          <w:tcPr/>
          <w:p>
            <w:pPr>
              <w:pStyle w:val="Compact"/>
              <w:spacing w:line="240" w:lineRule="auto" w:after="0"/>
            </w:pPr>
            <w:r>
              <w:rPr>
                <w:rFonts w:ascii="Times New Roman" w:hAnsi="Times New Roman"/>
                <w:sz w:val="16"/>
              </w:rPr>
              <w:t xml:space="preserve">0.277</w:t>
            </w:r>
          </w:p>
        </w:tc>
        <w:tc>
          <w:tcPr/>
          <w:p>
            <w:pPr>
              <w:pStyle w:val="Compact"/>
              <w:spacing w:line="240" w:lineRule="auto" w:after="0"/>
            </w:pPr>
            <w:r>
              <w:rPr>
                <w:rFonts w:ascii="Times New Roman" w:hAnsi="Times New Roman"/>
                <w:sz w:val="16"/>
              </w:rPr>
              <w:t xml:space="preserve">0.607</w:t>
            </w:r>
          </w:p>
        </w:tc>
        <w:tc>
          <w:tcPr/>
          <w:p>
            <w:pPr>
              <w:pStyle w:val="Compact"/>
              <w:spacing w:line="240" w:lineRule="auto" w:after="0"/>
            </w:pPr>
            <w:r>
              <w:rPr>
                <w:rFonts w:ascii="Times New Roman" w:hAnsi="Times New Roman"/>
                <w:sz w:val="16"/>
              </w:rPr>
              <w:t xml:space="preserve">0.737</w:t>
            </w:r>
          </w:p>
        </w:tc>
        <w:tc>
          <w:tcPr/>
          <w:p>
            <w:pPr>
              <w:pStyle w:val="Compact"/>
              <w:spacing w:line="240" w:lineRule="auto" w:after="0"/>
            </w:pPr>
            <w:r>
              <w:rPr>
                <w:rFonts w:ascii="Times New Roman" w:hAnsi="Times New Roman"/>
                <w:sz w:val="16"/>
              </w:rPr>
              <w:t xml:space="preserve">0.224</w:t>
            </w:r>
          </w:p>
        </w:tc>
      </w:tr>
      <w:tr>
        <w:tc>
          <w:tcPr/>
          <w:p>
            <w:pPr>
              <w:pStyle w:val="Compact"/>
              <w:spacing w:line="240" w:lineRule="auto" w:after="0"/>
            </w:pPr>
            <w:r>
              <w:rPr>
                <w:rFonts w:ascii="Times New Roman" w:hAnsi="Times New Roman"/>
                <w:b/>
                <w:bCs/>
                <w:sz w:val="16"/>
              </w:rPr>
              <w:t xml:space="preserve">+ province × year (main)</w:t>
            </w:r>
          </w:p>
        </w:tc>
        <w:tc>
          <w:tcPr/>
          <w:p>
            <w:pPr>
              <w:pStyle w:val="Compact"/>
              <w:spacing w:line="240" w:lineRule="auto" w:after="0"/>
            </w:pPr>
            <w:r>
              <w:rPr>
                <w:rFonts w:ascii="Times New Roman" w:hAnsi="Times New Roman"/>
                <w:b/>
                <w:bCs/>
                <w:sz w:val="16"/>
              </w:rPr>
              <w:t xml:space="preserve">5.25</w:t>
            </w:r>
          </w:p>
        </w:tc>
        <w:tc>
          <w:tcPr/>
          <w:p>
            <w:pPr>
              <w:pStyle w:val="Compact"/>
              <w:spacing w:line="240" w:lineRule="auto" w:after="0"/>
            </w:pPr>
            <w:r>
              <w:rPr>
                <w:rFonts w:ascii="Times New Roman" w:hAnsi="Times New Roman"/>
                <w:b/>
                <w:bCs/>
                <w:sz w:val="16"/>
              </w:rPr>
              <w:t xml:space="preserve">0.0331</w:t>
            </w:r>
          </w:p>
        </w:tc>
        <w:tc>
          <w:tcPr/>
          <w:p>
            <w:pPr>
              <w:pStyle w:val="Compact"/>
              <w:spacing w:line="240" w:lineRule="auto" w:after="0"/>
            </w:pPr>
            <w:r>
              <w:rPr>
                <w:rFonts w:ascii="Times New Roman" w:hAnsi="Times New Roman"/>
                <w:b/>
                <w:bCs/>
                <w:sz w:val="16"/>
              </w:rPr>
              <w:t xml:space="preserve">0.082</w:t>
            </w:r>
          </w:p>
        </w:tc>
        <w:tc>
          <w:tcPr/>
          <w:p>
            <w:pPr>
              <w:pStyle w:val="Compact"/>
              <w:spacing w:line="240" w:lineRule="auto" w:after="0"/>
            </w:pPr>
            <w:r>
              <w:rPr>
                <w:rFonts w:ascii="Times New Roman" w:hAnsi="Times New Roman"/>
                <w:b/>
                <w:bCs/>
                <w:sz w:val="16"/>
              </w:rPr>
              <w:t xml:space="preserve">0.411</w:t>
            </w:r>
          </w:p>
        </w:tc>
        <w:tc>
          <w:tcPr/>
          <w:p>
            <w:pPr>
              <w:pStyle w:val="Compact"/>
              <w:spacing w:line="240" w:lineRule="auto" w:after="0"/>
            </w:pPr>
            <w:r>
              <w:rPr>
                <w:rFonts w:ascii="Times New Roman" w:hAnsi="Times New Roman"/>
                <w:b/>
                <w:bCs/>
                <w:sz w:val="16"/>
              </w:rPr>
              <w:t xml:space="preserve">0.612</w:t>
            </w:r>
          </w:p>
        </w:tc>
        <w:tc>
          <w:tcPr/>
          <w:p>
            <w:pPr>
              <w:pStyle w:val="Compact"/>
              <w:spacing w:line="240" w:lineRule="auto" w:after="0"/>
            </w:pPr>
            <w:r>
              <w:rPr>
                <w:rFonts w:ascii="Times New Roman" w:hAnsi="Times New Roman"/>
                <w:b/>
                <w:bCs/>
                <w:sz w:val="16"/>
              </w:rPr>
              <w:t xml:space="preserve">0.854</w:t>
            </w:r>
          </w:p>
        </w:tc>
        <w:tc>
          <w:tcPr/>
          <w:p>
            <w:pPr>
              <w:pStyle w:val="Compact"/>
              <w:spacing w:line="240" w:lineRule="auto" w:after="0"/>
            </w:pPr>
            <w:r>
              <w:rPr>
                <w:rFonts w:ascii="Times New Roman" w:hAnsi="Times New Roman"/>
                <w:b/>
                <w:bCs/>
                <w:sz w:val="16"/>
              </w:rPr>
              <w:t xml:space="preserve">0.358</w:t>
            </w:r>
          </w:p>
        </w:tc>
      </w:tr>
      <w:tr>
        <w:tc>
          <w:tcPr/>
          <w:p>
            <w:pPr>
              <w:pStyle w:val="Compact"/>
              <w:spacing w:line="240" w:lineRule="auto" w:after="0"/>
            </w:pPr>
            <w:r>
              <w:rPr>
                <w:rFonts w:ascii="Times New Roman" w:hAnsi="Times New Roman"/>
                <w:sz w:val="16"/>
              </w:rPr>
              <w:t xml:space="preserve">+ species warming slope</w:t>
            </w:r>
          </w:p>
        </w:tc>
        <w:tc>
          <w:tcPr/>
          <w:p>
            <w:pPr>
              <w:pStyle w:val="Compact"/>
              <w:spacing w:line="240" w:lineRule="auto" w:after="0"/>
            </w:pPr>
            <w:r>
              <w:rPr>
                <w:rFonts w:ascii="Times New Roman" w:hAnsi="Times New Roman"/>
                <w:sz w:val="16"/>
              </w:rPr>
              <w:t xml:space="preserve">4.48</w:t>
            </w:r>
          </w:p>
        </w:tc>
        <w:tc>
          <w:tcPr/>
          <w:p>
            <w:pPr>
              <w:pStyle w:val="Compact"/>
              <w:spacing w:line="240" w:lineRule="auto" w:after="0"/>
            </w:pPr>
            <w:r>
              <w:rPr>
                <w:rFonts w:ascii="Times New Roman" w:hAnsi="Times New Roman"/>
                <w:sz w:val="16"/>
              </w:rPr>
              <w:t xml:space="preserve">0.0334</w:t>
            </w:r>
          </w:p>
        </w:tc>
        <w:tc>
          <w:tcPr/>
          <w:p>
            <w:pPr>
              <w:pStyle w:val="Compact"/>
              <w:spacing w:line="240" w:lineRule="auto" w:after="0"/>
            </w:pPr>
            <w:r>
              <w:rPr>
                <w:rFonts w:ascii="Times New Roman" w:hAnsi="Times New Roman"/>
                <w:sz w:val="16"/>
              </w:rPr>
              <w:t xml:space="preserve">0.080</w:t>
            </w:r>
          </w:p>
        </w:tc>
        <w:tc>
          <w:tcPr/>
          <w:p>
            <w:pPr>
              <w:pStyle w:val="Compact"/>
              <w:spacing w:line="240" w:lineRule="auto" w:after="0"/>
            </w:pPr>
            <w:r>
              <w:rPr>
                <w:rFonts w:ascii="Times New Roman" w:hAnsi="Times New Roman"/>
                <w:sz w:val="16"/>
              </w:rPr>
              <w:t xml:space="preserve">0.403</w:t>
            </w:r>
          </w:p>
        </w:tc>
        <w:tc>
          <w:tcPr/>
          <w:p>
            <w:pPr>
              <w:pStyle w:val="Compact"/>
              <w:spacing w:line="240" w:lineRule="auto" w:after="0"/>
            </w:pPr>
            <w:r>
              <w:rPr>
                <w:rFonts w:ascii="Times New Roman" w:hAnsi="Times New Roman"/>
                <w:sz w:val="16"/>
              </w:rPr>
              <w:t xml:space="preserve">0.612</w:t>
            </w:r>
          </w:p>
        </w:tc>
        <w:tc>
          <w:tcPr/>
          <w:p>
            <w:pPr>
              <w:pStyle w:val="Compact"/>
              <w:spacing w:line="240" w:lineRule="auto" w:after="0"/>
            </w:pPr>
            <w:r>
              <w:rPr>
                <w:rFonts w:ascii="Times New Roman" w:hAnsi="Times New Roman"/>
                <w:sz w:val="16"/>
              </w:rPr>
              <w:t xml:space="preserve">0.865</w:t>
            </w:r>
          </w:p>
        </w:tc>
        <w:tc>
          <w:tcPr/>
          <w:p>
            <w:pPr>
              <w:pStyle w:val="Compact"/>
              <w:spacing w:line="240" w:lineRule="auto" w:after="0"/>
            </w:pPr>
            <w:r>
              <w:rPr>
                <w:rFonts w:ascii="Times New Roman" w:hAnsi="Times New Roman"/>
                <w:sz w:val="16"/>
              </w:rPr>
              <w:t xml:space="preserve">0.351</w:t>
            </w:r>
          </w:p>
        </w:tc>
      </w:tr>
      <w:tr>
        <w:tc>
          <w:tcPr/>
          <w:p>
            <w:pPr>
              <w:pStyle w:val="Compact"/>
              <w:spacing w:line="240" w:lineRule="auto" w:after="0"/>
            </w:pPr>
            <w:r>
              <w:rPr>
                <w:rFonts w:ascii="Times New Roman" w:hAnsi="Times New Roman"/>
                <w:sz w:val="16"/>
              </w:rPr>
              <w:t xml:space="preserve">+ province effort slope</w:t>
            </w:r>
          </w:p>
        </w:tc>
        <w:tc>
          <w:tcPr/>
          <w:p>
            <w:pPr>
              <w:pStyle w:val="Compact"/>
              <w:spacing w:line="240" w:lineRule="auto" w:after="0"/>
            </w:pPr>
            <w:r>
              <w:rPr>
                <w:rFonts w:ascii="Times New Roman" w:hAnsi="Times New Roman"/>
                <w:sz w:val="16"/>
              </w:rPr>
              <w:t xml:space="preserve">0.00</w:t>
            </w:r>
          </w:p>
        </w:tc>
        <w:tc>
          <w:tcPr/>
          <w:p>
            <w:pPr>
              <w:pStyle w:val="Compact"/>
              <w:spacing w:line="240" w:lineRule="auto" w:after="0"/>
            </w:pPr>
            <w:r>
              <w:rPr>
                <w:rFonts w:ascii="Times New Roman" w:hAnsi="Times New Roman"/>
                <w:sz w:val="16"/>
              </w:rPr>
              <w:t xml:space="preserve">0.0339</w:t>
            </w:r>
          </w:p>
        </w:tc>
        <w:tc>
          <w:tcPr/>
          <w:p>
            <w:pPr>
              <w:pStyle w:val="Compact"/>
              <w:spacing w:line="240" w:lineRule="auto" w:after="0"/>
            </w:pPr>
            <w:r>
              <w:rPr>
                <w:rFonts w:ascii="Times New Roman" w:hAnsi="Times New Roman"/>
                <w:sz w:val="16"/>
              </w:rPr>
              <w:t xml:space="preserve">0.082</w:t>
            </w:r>
          </w:p>
        </w:tc>
        <w:tc>
          <w:tcPr/>
          <w:p>
            <w:pPr>
              <w:pStyle w:val="Compact"/>
              <w:spacing w:line="240" w:lineRule="auto" w:after="0"/>
            </w:pPr>
            <w:r>
              <w:rPr>
                <w:rFonts w:ascii="Times New Roman" w:hAnsi="Times New Roman"/>
                <w:sz w:val="16"/>
              </w:rPr>
              <w:t xml:space="preserve">0.395</w:t>
            </w:r>
          </w:p>
        </w:tc>
        <w:tc>
          <w:tcPr/>
          <w:p>
            <w:pPr>
              <w:pStyle w:val="Compact"/>
              <w:spacing w:line="240" w:lineRule="auto" w:after="0"/>
            </w:pPr>
            <w:r>
              <w:rPr>
                <w:rFonts w:ascii="Times New Roman" w:hAnsi="Times New Roman"/>
                <w:sz w:val="16"/>
              </w:rPr>
              <w:t xml:space="preserve">0.611</w:t>
            </w:r>
          </w:p>
        </w:tc>
        <w:tc>
          <w:tcPr/>
          <w:p>
            <w:pPr>
              <w:pStyle w:val="Compact"/>
              <w:spacing w:line="240" w:lineRule="auto" w:after="0"/>
            </w:pPr>
            <w:r>
              <w:rPr>
                <w:rFonts w:ascii="Times New Roman" w:hAnsi="Times New Roman"/>
                <w:sz w:val="16"/>
              </w:rPr>
              <w:t xml:space="preserve">0.852</w:t>
            </w:r>
          </w:p>
        </w:tc>
        <w:tc>
          <w:tcPr/>
          <w:p>
            <w:pPr>
              <w:pStyle w:val="Compact"/>
              <w:spacing w:line="240" w:lineRule="auto" w:after="0"/>
            </w:pPr>
            <w:r>
              <w:rPr>
                <w:rFonts w:ascii="Times New Roman" w:hAnsi="Times New Roman"/>
                <w:sz w:val="16"/>
              </w:rPr>
              <w:t xml:space="preserve">0.341</w:t>
            </w:r>
          </w:p>
        </w:tc>
      </w:tr>
    </w:tbl>
    <w:bookmarkEnd w:id="21"/>
    <w:bookmarkStart w:id="22" w:name="Xf5387439434cad6ee6cbafbf59e9e5db264721a"/>
    <w:p>
      <w:pPr>
        <w:pStyle w:val="Heading3"/>
      </w:pPr>
      <w:r>
        <w:t xml:space="preserve">Supplementary Table S3. Model adequacy checks</w:t>
      </w:r>
    </w:p>
    <w:p>
      <w:pPr>
        <w:pStyle w:val="FirstParagraph"/>
      </w:pPr>
      <w:r>
        <w:t xml:space="preserve">Model adequacy.</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Check</w:t>
            </w:r>
          </w:p>
        </w:tc>
        <w:tc>
          <w:tcPr/>
          <w:p>
            <w:pPr>
              <w:pStyle w:val="Compact"/>
              <w:spacing w:line="240" w:lineRule="auto" w:after="0"/>
            </w:pPr>
            <w:r>
              <w:rPr>
                <w:rFonts w:ascii="Times New Roman" w:hAnsi="Times New Roman"/>
                <w:sz w:val="16"/>
              </w:rPr>
              <w:t xml:space="preserve">Statistic</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Reading</w:t>
            </w:r>
          </w:p>
        </w:tc>
      </w:tr>
      <w:tr>
        <w:tc>
          <w:tcPr/>
          <w:p>
            <w:pPr>
              <w:pStyle w:val="Compact"/>
              <w:spacing w:line="240" w:lineRule="auto" w:after="0"/>
            </w:pPr>
            <w:r>
              <w:rPr>
                <w:rFonts w:ascii="Times New Roman" w:hAnsi="Times New Roman"/>
                <w:sz w:val="16"/>
              </w:rPr>
              <w:t xml:space="preserve">KS uniformity</w:t>
            </w:r>
          </w:p>
        </w:tc>
        <w:tc>
          <w:tcPr/>
          <w:p>
            <w:pPr>
              <w:pStyle w:val="Compact"/>
              <w:spacing w:line="240" w:lineRule="auto" w:after="0"/>
            </w:pPr>
            <w:r>
              <w:rPr>
                <w:rFonts w:ascii="Times New Roman" w:hAnsi="Times New Roman"/>
                <w:sz w:val="16"/>
              </w:rPr>
              <w:t xml:space="preserve">0.0016</w:t>
            </w:r>
          </w:p>
        </w:tc>
        <w:tc>
          <w:tcPr/>
          <w:p>
            <w:pPr>
              <w:pStyle w:val="Compact"/>
              <w:spacing w:line="240" w:lineRule="auto" w:after="0"/>
            </w:pPr>
            <w:r>
              <w:rPr>
                <w:rFonts w:ascii="Times New Roman" w:hAnsi="Times New Roman"/>
                <w:sz w:val="16"/>
              </w:rPr>
              <w:t xml:space="preserve">0.74</w:t>
            </w:r>
          </w:p>
        </w:tc>
        <w:tc>
          <w:tcPr/>
          <w:p>
            <w:pPr>
              <w:pStyle w:val="Compact"/>
              <w:spacing w:line="240" w:lineRule="auto" w:after="0"/>
            </w:pPr>
            <w:r>
              <w:rPr>
                <w:rFonts w:ascii="Times New Roman" w:hAnsi="Times New Roman"/>
                <w:sz w:val="16"/>
              </w:rPr>
              <w:t xml:space="preserve">calibrated</w:t>
            </w:r>
          </w:p>
        </w:tc>
      </w:tr>
      <w:tr>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sz w:val="16"/>
              </w:rPr>
              <w:t xml:space="preserve">0.947</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correct</w:t>
            </w:r>
          </w:p>
        </w:tc>
      </w:tr>
      <w:tr>
        <w:tc>
          <w:tcPr/>
          <w:p>
            <w:pPr>
              <w:pStyle w:val="Compact"/>
              <w:spacing w:line="240" w:lineRule="auto" w:after="0"/>
            </w:pPr>
            <w:r>
              <w:rPr>
                <w:rFonts w:ascii="Times New Roman" w:hAnsi="Times New Roman"/>
                <w:sz w:val="16"/>
              </w:rPr>
              <w:t xml:space="preserve">Zero inflation</w:t>
            </w:r>
          </w:p>
        </w:tc>
        <w:tc>
          <w:tcPr/>
          <w:p>
            <w:pPr>
              <w:pStyle w:val="Compact"/>
              <w:spacing w:line="240" w:lineRule="auto" w:after="0"/>
            </w:pPr>
            <w:r>
              <w:rPr>
                <w:rFonts w:ascii="Times New Roman" w:hAnsi="Times New Roman"/>
                <w:sz w:val="16"/>
              </w:rPr>
              <w:t xml:space="preserve">1.000</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none</w:t>
            </w:r>
          </w:p>
        </w:tc>
      </w:tr>
      <w:tr>
        <w:tc>
          <w:tcPr/>
          <w:p>
            <w:pPr>
              <w:pStyle w:val="Compact"/>
              <w:spacing w:line="240" w:lineRule="auto" w:after="0"/>
            </w:pPr>
            <w:r>
              <w:rPr>
                <w:rFonts w:ascii="Times New Roman" w:hAnsi="Times New Roman"/>
                <w:sz w:val="16"/>
              </w:rPr>
              <w:t xml:space="preserve">Outliers</w:t>
            </w:r>
          </w:p>
        </w:tc>
        <w:tc>
          <w:tcPr/>
          <w:p>
            <w:pPr>
              <w:pStyle w:val="Compact"/>
              <w:spacing w:line="240" w:lineRule="auto" w:after="0"/>
            </w:pPr>
            <w:r>
              <w:rPr>
                <w:rFonts w:ascii="Times New Roman" w:hAnsi="Times New Roman"/>
                <w:sz w:val="16"/>
              </w:rPr>
              <w:t xml:space="preserve">95</w:t>
            </w:r>
          </w:p>
        </w:tc>
        <w:tc>
          <w:tcPr/>
          <w:p>
            <w:pPr>
              <w:pStyle w:val="Compact"/>
              <w:spacing w:line="240" w:lineRule="auto" w:after="0"/>
            </w:pPr>
            <w:r>
              <w:rPr>
                <w:rFonts w:ascii="Times New Roman" w:hAnsi="Times New Roman"/>
                <w:sz w:val="16"/>
              </w:rPr>
              <w:t xml:space="preserve">&lt; 0.001</w:t>
            </w:r>
          </w:p>
        </w:tc>
        <w:tc>
          <w:tcPr/>
          <w:p>
            <w:pPr>
              <w:pStyle w:val="Compact"/>
              <w:spacing w:line="240" w:lineRule="auto" w:after="0"/>
            </w:pPr>
            <w:r>
              <w:rPr>
                <w:rFonts w:ascii="Times New Roman" w:hAnsi="Times New Roman"/>
                <w:sz w:val="16"/>
              </w:rPr>
              <w:t xml:space="preserve">expected at 0.37% event rate</w:t>
            </w:r>
          </w:p>
        </w:tc>
      </w:tr>
      <w:tr>
        <w:tc>
          <w:tcPr/>
          <w:p>
            <w:pPr>
              <w:pStyle w:val="Compact"/>
              <w:spacing w:line="240" w:lineRule="auto" w:after="0"/>
            </w:pPr>
            <w:r>
              <w:rPr>
                <w:rFonts w:ascii="Times New Roman" w:hAnsi="Times New Roman"/>
                <w:sz w:val="16"/>
              </w:rPr>
              <w:t xml:space="preserve">Grouped by year</w:t>
            </w:r>
          </w:p>
        </w:tc>
        <w:tc>
          <w:tcPr/>
          <w:p>
            <w:pPr>
              <w:pStyle w:val="Compact"/>
              <w:spacing w:line="240" w:lineRule="auto" w:after="0"/>
            </w:pPr>
            <w:r>
              <w:rPr>
                <w:rFonts w:ascii="Times New Roman" w:hAnsi="Times New Roman"/>
                <w:sz w:val="16"/>
              </w:rPr>
              <w:t xml:space="preserve">2 of 23 levels</w:t>
            </w:r>
          </w:p>
        </w:tc>
        <w:tc>
          <w:tcPr/>
          <w:p>
            <w:pPr>
              <w:pStyle w:val="Compact"/>
              <w:spacing w:line="240" w:lineRule="auto" w:after="0"/>
            </w:pPr>
            <w:r>
              <w:rPr>
                <w:rFonts w:ascii="Times New Roman" w:hAnsi="Times New Roman"/>
                <w:sz w:val="16"/>
              </w:rPr>
              <w:t xml:space="preserve">0.0018</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Grouped by province</w:t>
            </w:r>
          </w:p>
        </w:tc>
        <w:tc>
          <w:tcPr/>
          <w:p>
            <w:pPr>
              <w:pStyle w:val="Compact"/>
              <w:spacing w:line="240" w:lineRule="auto" w:after="0"/>
            </w:pPr>
            <w:r>
              <w:rPr>
                <w:rFonts w:ascii="Times New Roman" w:hAnsi="Times New Roman"/>
                <w:sz w:val="16"/>
              </w:rPr>
              <w:t xml:space="preserve">2 of 31 levels</w:t>
            </w:r>
          </w:p>
        </w:tc>
        <w:tc>
          <w:tcPr/>
          <w:p>
            <w:pPr>
              <w:pStyle w:val="Compact"/>
              <w:spacing w:line="240" w:lineRule="auto" w:after="0"/>
            </w:pPr>
            <w:r>
              <w:rPr>
                <w:rFonts w:ascii="Times New Roman" w:hAnsi="Times New Roman"/>
                <w:sz w:val="16"/>
              </w:rPr>
              <w:t xml:space="preserve">0.024</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Moran’s</w:t>
            </w:r>
            <w:r>
              <w:rPr>
                <w:rFonts w:ascii="Times New Roman" w:hAnsi="Times New Roman"/>
                <w:sz w:val="16"/>
              </w:rPr>
              <w:t xml:space="preserve"> </w:t>
            </w:r>
            <w:r>
              <w:rPr>
                <w:rFonts w:ascii="Times New Roman" w:hAnsi="Times New Roman"/>
                <w:i/>
                <w:iCs/>
                <w:sz w:val="16"/>
              </w:rPr>
              <w:t xml:space="preserve">I</w:t>
            </w:r>
          </w:p>
        </w:tc>
        <w:tc>
          <w:tcPr/>
          <w:p>
            <w:pPr>
              <w:pStyle w:val="Compact"/>
              <w:spacing w:line="240" w:lineRule="auto" w:after="0"/>
            </w:pPr>
            <w:r>
              <w:rPr>
                <w:rFonts w:ascii="Times New Roman" w:hAnsi="Times New Roman"/>
                <w:sz w:val="16"/>
              </w:rPr>
              <w:t xml:space="preserve">−0.038</w:t>
            </w:r>
          </w:p>
        </w:tc>
        <w:tc>
          <w:tcPr/>
          <w:p>
            <w:pPr>
              <w:pStyle w:val="Compact"/>
              <w:spacing w:line="240" w:lineRule="auto" w:after="0"/>
            </w:pPr>
            <w:r>
              <w:rPr>
                <w:rFonts w:ascii="Times New Roman" w:hAnsi="Times New Roman"/>
                <w:sz w:val="16"/>
              </w:rPr>
              <w:t xml:space="preserve">0.86</w:t>
            </w:r>
          </w:p>
        </w:tc>
        <w:tc>
          <w:tcPr/>
          <w:p>
            <w:pPr>
              <w:pStyle w:val="Compact"/>
              <w:spacing w:line="240" w:lineRule="auto" w:after="0"/>
            </w:pPr>
            <w:r>
              <w:rPr>
                <w:rFonts w:ascii="Times New Roman" w:hAnsi="Times New Roman"/>
                <w:sz w:val="16"/>
              </w:rPr>
              <w:t xml:space="preserve">no spatial structure</w:t>
            </w:r>
          </w:p>
        </w:tc>
      </w:tr>
      <w:tr>
        <w:tc>
          <w:tcPr/>
          <w:p>
            <w:pPr>
              <w:pStyle w:val="Compact"/>
              <w:spacing w:line="240" w:lineRule="auto" w:after="0"/>
            </w:pPr>
            <w:r>
              <w:rPr>
                <w:rFonts w:ascii="Times New Roman" w:hAnsi="Times New Roman"/>
                <w:sz w:val="16"/>
              </w:rPr>
              <w:t xml:space="preserve">PH: warming × time</w:t>
            </w:r>
          </w:p>
        </w:tc>
        <w:tc>
          <w:tcPr/>
          <w:p>
            <w:pPr>
              <w:pStyle w:val="Compact"/>
              <w:spacing w:line="240" w:lineRule="auto" w:after="0"/>
            </w:pPr>
            <w:r>
              <w:rPr>
                <w:rFonts w:ascii="Times New Roman" w:hAnsi="Times New Roman"/>
                <w:sz w:val="16"/>
              </w:rPr>
              <w:t xml:space="preserve">−0.022</w:t>
            </w:r>
          </w:p>
        </w:tc>
        <w:tc>
          <w:tcPr/>
          <w:p>
            <w:pPr>
              <w:pStyle w:val="Compact"/>
              <w:spacing w:line="240" w:lineRule="auto" w:after="0"/>
            </w:pPr>
            <w:r>
              <w:rPr>
                <w:rFonts w:ascii="Times New Roman" w:hAnsi="Times New Roman"/>
                <w:sz w:val="16"/>
              </w:rPr>
              <w:t xml:space="preserve">0.82</w:t>
            </w:r>
          </w:p>
        </w:tc>
        <w:tc>
          <w:tcPr/>
          <w:p>
            <w:pPr>
              <w:pStyle w:val="Compact"/>
              <w:spacing w:line="240" w:lineRule="auto" w:after="0"/>
            </w:pPr>
            <w:r>
              <w:rPr>
                <w:rFonts w:ascii="Times New Roman" w:hAnsi="Times New Roman"/>
                <w:sz w:val="16"/>
              </w:rPr>
              <w:t xml:space="preserve">assumption holds</w:t>
            </w:r>
          </w:p>
        </w:tc>
      </w:tr>
      <w:tr>
        <w:tc>
          <w:tcPr/>
          <w:p>
            <w:pPr>
              <w:pStyle w:val="Compact"/>
              <w:spacing w:line="240" w:lineRule="auto" w:after="0"/>
            </w:pPr>
            <w:r>
              <w:rPr>
                <w:rFonts w:ascii="Times New Roman" w:hAnsi="Times New Roman"/>
                <w:sz w:val="16"/>
              </w:rPr>
              <w:t xml:space="preserve">PH: effort × time</w:t>
            </w:r>
          </w:p>
        </w:tc>
        <w:tc>
          <w:tcPr/>
          <w:p>
            <w:pPr>
              <w:pStyle w:val="Compact"/>
              <w:spacing w:line="240" w:lineRule="auto" w:after="0"/>
            </w:pPr>
            <w:r>
              <w:rPr>
                <w:rFonts w:ascii="Times New Roman" w:hAnsi="Times New Roman"/>
                <w:sz w:val="16"/>
              </w:rPr>
              <w:t xml:space="preserve">−0.211</w:t>
            </w:r>
          </w:p>
        </w:tc>
        <w:tc>
          <w:tcPr/>
          <w:p>
            <w:pPr>
              <w:pStyle w:val="Compact"/>
              <w:spacing w:line="240" w:lineRule="auto" w:after="0"/>
            </w:pPr>
            <w:r>
              <w:rPr>
                <w:rFonts w:ascii="Times New Roman" w:hAnsi="Times New Roman"/>
                <w:sz w:val="16"/>
              </w:rPr>
              <w:t xml:space="preserve">7.7 × 10⁻⁴</w:t>
            </w:r>
          </w:p>
        </w:tc>
        <w:tc>
          <w:tcPr/>
          <w:p>
            <w:pPr>
              <w:pStyle w:val="Compact"/>
              <w:spacing w:line="240" w:lineRule="auto" w:after="0"/>
            </w:pPr>
            <w:r>
              <w:rPr>
                <w:rFonts w:ascii="Times New Roman" w:hAnsi="Times New Roman"/>
                <w:sz w:val="16"/>
              </w:rPr>
              <w:t xml:space="preserve">effort returns decline</w:t>
            </w:r>
          </w:p>
        </w:tc>
      </w:tr>
    </w:tbl>
    <w:bookmarkEnd w:id="22"/>
    <w:bookmarkStart w:id="23" w:name="X607d0d4ed9a16542bde56a97b4122ab6cb9b8eb"/>
    <w:p>
      <w:pPr>
        <w:pStyle w:val="Heading3"/>
      </w:pPr>
      <w:r>
        <w:t xml:space="preserve">Supplementary Table S4. Ecological rationale for every model component</w:t>
      </w:r>
    </w:p>
    <w:p>
      <w:pPr>
        <w:pStyle w:val="FirstParagraph"/>
      </w:pPr>
      <w:r>
        <w:t xml:space="preserve">Ecological rationale for every component of the main model. Each row states why the</w:t>
      </w:r>
      <w:r>
        <w:t xml:space="preserve"> </w:t>
      </w:r>
      <w:r>
        <w:t xml:space="preserve">component is in the model, what its estimate means, and one falsifiable prediction the</w:t>
      </w:r>
      <w:r>
        <w:t xml:space="preserve"> </w:t>
      </w:r>
      <w:r>
        <w:t xml:space="preserve">specification implies. All predictions are tested in the paper. The full version, with the</w:t>
      </w:r>
      <w:r>
        <w:t xml:space="preserve"> </w:t>
      </w:r>
      <w:r>
        <w:t xml:space="preserve">prediction column, is</w:t>
      </w:r>
      <w:r>
        <w:t xml:space="preserve"> </w:t>
      </w:r>
      <w:r>
        <w:rPr>
          <w:rStyle w:val="VerbatimChar"/>
        </w:rPr>
        <w:t xml:space="preserve">tables/tbl_v2_ecological_rationale.csv</w:t>
      </w:r>
      <w:r>
        <w:t xml:space="preserve"> </w:t>
      </w:r>
      <w:r>
        <w:t xml:space="preserve">and</w:t>
      </w:r>
      <w:r>
        <w:t xml:space="preserve"> </w:t>
      </w:r>
      <w:r>
        <w:rPr>
          <w:rStyle w:val="VerbatimChar"/>
        </w:rPr>
        <w:t xml:space="preserve">docs/ECOLOGICAL_RATIONALE.md</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Component</w:t>
            </w:r>
          </w:p>
        </w:tc>
        <w:tc>
          <w:tcPr/>
          <w:p>
            <w:pPr>
              <w:pStyle w:val="Compact"/>
              <w:spacing w:line="240" w:lineRule="auto" w:after="0"/>
            </w:pPr>
            <w:r>
              <w:rPr>
                <w:rFonts w:ascii="Times New Roman" w:hAnsi="Times New Roman"/>
                <w:sz w:val="16"/>
              </w:rPr>
              <w:t xml:space="preserve">Why it is in the model</w:t>
            </w:r>
          </w:p>
        </w:tc>
        <w:tc>
          <w:tcPr/>
          <w:p>
            <w:pPr>
              <w:pStyle w:val="Compact"/>
              <w:spacing w:line="240" w:lineRule="auto" w:after="0"/>
            </w:pPr>
            <w:r>
              <w:rPr>
                <w:rFonts w:ascii="Times New Roman" w:hAnsi="Times New Roman"/>
                <w:sz w:val="16"/>
              </w:rPr>
              <w:t xml:space="preserve">What the estimate means</w:t>
            </w:r>
          </w:p>
        </w:tc>
      </w:tr>
      <w:tr>
        <w:tc>
          <w:tcPr/>
          <w:p>
            <w:pPr>
              <w:pStyle w:val="Compact"/>
              <w:spacing w:line="240" w:lineRule="auto" w:after="0"/>
            </w:pPr>
            <w:r>
              <w:rPr>
                <w:rFonts w:ascii="Times New Roman" w:hAnsi="Times New Roman"/>
                <w:sz w:val="16"/>
              </w:rPr>
              <w:t xml:space="preserve">Response: first record only</w:t>
            </w:r>
          </w:p>
        </w:tc>
        <w:tc>
          <w:tcPr/>
          <w:p>
            <w:pPr>
              <w:pStyle w:val="Compact"/>
              <w:spacing w:line="240" w:lineRule="auto" w:after="0"/>
            </w:pPr>
            <w:r>
              <w:rPr>
                <w:rFonts w:ascii="Times New Roman" w:hAnsi="Times New Roman"/>
                <w:sz w:val="16"/>
              </w:rPr>
              <w:t xml:space="preserve">A species-province pair can acquire a first record once; treating re-documentation as new information would inflate the event count</w:t>
            </w:r>
          </w:p>
        </w:tc>
        <w:tc>
          <w:tcPr/>
          <w:p>
            <w:pPr>
              <w:pStyle w:val="Compact"/>
              <w:spacing w:line="240" w:lineRule="auto" w:after="0"/>
            </w:pPr>
            <w:r>
              <w:rPr>
                <w:rFonts w:ascii="Times New Roman" w:hAnsi="Times New Roman"/>
                <w:sz w:val="16"/>
              </w:rPr>
              <w:t xml:space="preserve">The annual probability of crossing from undocumented to documented</w:t>
            </w:r>
          </w:p>
        </w:tc>
      </w:tr>
      <w:tr>
        <w:tc>
          <w:tcPr/>
          <w:p>
            <w:pPr>
              <w:pStyle w:val="Compact"/>
              <w:spacing w:line="240" w:lineRule="auto" w:after="0"/>
            </w:pPr>
            <w:r>
              <w:rPr>
                <w:rFonts w:ascii="Times New Roman" w:hAnsi="Times New Roman"/>
                <w:sz w:val="16"/>
              </w:rPr>
              <w:t xml:space="preserve">cloglog link</w:t>
            </w:r>
          </w:p>
        </w:tc>
        <w:tc>
          <w:tcPr/>
          <w:p>
            <w:pPr>
              <w:pStyle w:val="Compact"/>
              <w:spacing w:line="240" w:lineRule="auto" w:after="0"/>
            </w:pPr>
            <w:r>
              <w:rPr>
                <w:rFonts w:ascii="Times New Roman" w:hAnsi="Times New Roman"/>
                <w:sz w:val="16"/>
              </w:rPr>
              <w:t xml:space="preserve">Discrete-time analogue of proportional hazards; coefficients are hazard ratios and do not depend on the length of the time step</w:t>
            </w:r>
          </w:p>
        </w:tc>
        <w:tc>
          <w:tcPr/>
          <w:p>
            <w:pPr>
              <w:pStyle w:val="Compact"/>
              <w:spacing w:line="240" w:lineRule="auto" w:after="0"/>
            </w:pPr>
            <w:r>
              <w:rPr>
                <w:rFonts w:ascii="Times New Roman" w:hAnsi="Times New Roman"/>
                <w:sz w:val="16"/>
              </w:rPr>
              <w:t xml:space="preserve">exp(β) is directly comparable with survival-analysis literature</w:t>
            </w:r>
          </w:p>
        </w:tc>
      </w:tr>
      <w:tr>
        <w:tc>
          <w:tcPr/>
          <w:p>
            <w:pPr>
              <w:pStyle w:val="Compact"/>
              <w:spacing w:line="240" w:lineRule="auto" w:after="0"/>
            </w:pPr>
            <w:r>
              <w:rPr>
                <w:rFonts w:ascii="Times New Roman" w:hAnsi="Times New Roman"/>
                <w:sz w:val="16"/>
              </w:rPr>
              <w:t xml:space="preserve">Risk set with absorbing exit</w:t>
            </w:r>
          </w:p>
        </w:tc>
        <w:tc>
          <w:tcPr/>
          <w:p>
            <w:pPr>
              <w:pStyle w:val="Compact"/>
              <w:spacing w:line="240" w:lineRule="auto" w:after="0"/>
            </w:pPr>
            <w:r>
              <w:rPr>
                <w:rFonts w:ascii="Times New Roman" w:hAnsi="Times New Roman"/>
                <w:sz w:val="16"/>
              </w:rPr>
              <w:t xml:space="preserve">Only species whose modelled range approaches a province are plausible candidates; pairs recorded before 2002 are prevalent, not incident, cases</w:t>
            </w:r>
          </w:p>
        </w:tc>
        <w:tc>
          <w:tcPr/>
          <w:p>
            <w:pPr>
              <w:pStyle w:val="Compact"/>
              <w:spacing w:line="240" w:lineRule="auto" w:after="0"/>
            </w:pPr>
            <w:r>
              <w:rPr>
                <w:rFonts w:ascii="Times New Roman" w:hAnsi="Times New Roman"/>
                <w:sz w:val="16"/>
              </w:rPr>
              <w:t xml:space="preserve">Hazard conditional on being a plausible, not-yet-recorded candidate</w:t>
            </w:r>
          </w:p>
        </w:tc>
      </w:tr>
      <w:tr>
        <w:tc>
          <w:tcPr/>
          <w:p>
            <w:pPr>
              <w:pStyle w:val="Compact"/>
              <w:spacing w:line="240" w:lineRule="auto" w:after="0"/>
            </w:pPr>
            <w:r>
              <w:rPr>
                <w:rFonts w:ascii="Times New Roman" w:hAnsi="Times New Roman"/>
                <w:sz w:val="16"/>
              </w:rPr>
              <w:t xml:space="preserve">Accumulated warming,</w:t>
            </w:r>
            <w:r>
              <w:rPr>
                <w:rFonts w:ascii="Times New Roman" w:hAnsi="Times New Roman"/>
                <w:sz w:val="16"/>
              </w:rPr>
              <w:t xml:space="preserve"> </w:t>
            </w:r>
            <w:r>
              <w:rPr>
                <w:rFonts w:ascii="Times New Roman" w:hAnsi="Times New Roman"/>
                <w:i/>
                <w:iCs/>
                <w:sz w:val="16"/>
              </w:rPr>
              <w:t xml:space="preserve">W</w:t>
            </w:r>
            <w:r>
              <w:rPr>
                <w:rFonts w:ascii="Times New Roman" w:hAnsi="Times New Roman"/>
                <w:sz w:val="16"/>
              </w:rPr>
              <w:t xml:space="preserve"> </w:t>
            </w:r>
            <w:r>
              <w:rPr>
                <w:rFonts w:ascii="Times New Roman" w:hAnsi="Times New Roman"/>
                <w:sz w:val="16"/>
              </w:rPr>
              <w:t xml:space="preserve">= 15 yr</w:t>
            </w:r>
          </w:p>
        </w:tc>
        <w:tc>
          <w:tcPr/>
          <w:p>
            <w:pPr>
              <w:pStyle w:val="Compact"/>
              <w:spacing w:line="240" w:lineRule="auto" w:after="0"/>
            </w:pPr>
            <w:r>
              <w:rPr>
                <w:rFonts w:ascii="Times New Roman" w:hAnsi="Times New Roman"/>
                <w:sz w:val="16"/>
              </w:rPr>
              <w:t xml:space="preserve">Range boundaries integrate climate over years to decades; referencing to the species’ own range is essential because absolute warming is near-uniform across China</w:t>
            </w:r>
          </w:p>
        </w:tc>
        <w:tc>
          <w:tcPr/>
          <w:p>
            <w:pPr>
              <w:pStyle w:val="Compact"/>
              <w:spacing w:line="240" w:lineRule="auto" w:after="0"/>
            </w:pPr>
            <w:r>
              <w:rPr>
                <w:rFonts w:ascii="Times New Roman" w:hAnsi="Times New Roman"/>
                <w:sz w:val="16"/>
              </w:rPr>
              <w:t xml:space="preserve">HR 1.362 per 0.179 °C of province-minus-range warming</w:t>
            </w:r>
          </w:p>
        </w:tc>
      </w:tr>
      <w:tr>
        <w:tc>
          <w:tcPr/>
          <w:p>
            <w:pPr>
              <w:pStyle w:val="Compact"/>
              <w:spacing w:line="240" w:lineRule="auto" w:after="0"/>
            </w:pPr>
            <w:r>
              <w:rPr>
                <w:rFonts w:ascii="Times New Roman" w:hAnsi="Times New Roman"/>
                <w:sz w:val="16"/>
              </w:rPr>
              <w:t xml:space="preserve">Annual variability</w:t>
            </w:r>
          </w:p>
        </w:tc>
        <w:tc>
          <w:tcPr/>
          <w:p>
            <w:pPr>
              <w:pStyle w:val="Compact"/>
              <w:spacing w:line="240" w:lineRule="auto" w:after="0"/>
            </w:pPr>
            <w:r>
              <w:rPr>
                <w:rFonts w:ascii="Times New Roman" w:hAnsi="Times New Roman"/>
                <w:sz w:val="16"/>
              </w:rPr>
              <w:t xml:space="preserve">Separates decadal signal from year-to-year weather, so neither term can absorb the other</w:t>
            </w:r>
          </w:p>
        </w:tc>
        <w:tc>
          <w:tcPr/>
          <w:p>
            <w:pPr>
              <w:pStyle w:val="Compact"/>
              <w:spacing w:line="240" w:lineRule="auto" w:after="0"/>
            </w:pPr>
            <w:r>
              <w:rPr>
                <w:rFonts w:ascii="Times New Roman" w:hAnsi="Times New Roman"/>
                <w:sz w:val="16"/>
              </w:rPr>
              <w:t xml:space="preserve">HR 0.995: weather in the discovery year adds nothing</w:t>
            </w:r>
          </w:p>
        </w:tc>
      </w:tr>
      <w:tr>
        <w:tc>
          <w:tcPr/>
          <w:p>
            <w:pPr>
              <w:pStyle w:val="Compact"/>
              <w:spacing w:line="240" w:lineRule="auto" w:after="0"/>
            </w:pPr>
            <w:r>
              <w:rPr>
                <w:rFonts w:ascii="Times New Roman" w:hAnsi="Times New Roman"/>
                <w:sz w:val="16"/>
              </w:rPr>
              <w:t xml:space="preserve">Survey effort</w:t>
            </w:r>
          </w:p>
        </w:tc>
        <w:tc>
          <w:tcPr/>
          <w:p>
            <w:pPr>
              <w:pStyle w:val="Compact"/>
              <w:spacing w:line="240" w:lineRule="auto" w:after="0"/>
            </w:pPr>
            <w:r>
              <w:rPr>
                <w:rFonts w:ascii="Times New Roman" w:hAnsi="Times New Roman"/>
                <w:sz w:val="16"/>
              </w:rPr>
              <w:t xml:space="preserve">A species can only be recorded where someone is looking; required for the climate coefficient to be interpretable</w:t>
            </w:r>
          </w:p>
        </w:tc>
        <w:tc>
          <w:tcPr/>
          <w:p>
            <w:pPr>
              <w:pStyle w:val="Compact"/>
              <w:spacing w:line="240" w:lineRule="auto" w:after="0"/>
            </w:pPr>
            <w:r>
              <w:rPr>
                <w:rFonts w:ascii="Times New Roman" w:hAnsi="Times New Roman"/>
                <w:sz w:val="16"/>
              </w:rPr>
              <w:t xml:space="preserve">HR 1.404 per 1 SD; one SD multiplies annual visits by 7.75</w:t>
            </w:r>
          </w:p>
        </w:tc>
      </w:tr>
      <w:tr>
        <w:tc>
          <w:tcPr/>
          <w:p>
            <w:pPr>
              <w:pStyle w:val="Compact"/>
              <w:spacing w:line="240" w:lineRule="auto" w:after="0"/>
            </w:pPr>
            <w:r>
              <w:rPr>
                <w:rFonts w:ascii="Times New Roman" w:hAnsi="Times New Roman"/>
                <w:sz w:val="16"/>
              </w:rPr>
              <w:t xml:space="preserve">Warming × effort</w:t>
            </w:r>
          </w:p>
        </w:tc>
        <w:tc>
          <w:tcPr/>
          <w:p>
            <w:pPr>
              <w:pStyle w:val="Compact"/>
              <w:spacing w:line="240" w:lineRule="auto" w:after="0"/>
            </w:pPr>
            <w:r>
              <w:rPr>
                <w:rFonts w:ascii="Times New Roman" w:hAnsi="Times New Roman"/>
                <w:sz w:val="16"/>
              </w:rPr>
              <w:t xml:space="preserve">Sparsely surveyed provinces are disproportionately montane with steep climatic gradients, and densely surveyed ones have already absorbed much of their Wallacean shortfall</w:t>
            </w:r>
          </w:p>
        </w:tc>
        <w:tc>
          <w:tcPr/>
          <w:p>
            <w:pPr>
              <w:pStyle w:val="Compact"/>
              <w:spacing w:line="240" w:lineRule="auto" w:after="0"/>
            </w:pPr>
            <w:r>
              <w:rPr>
                <w:rFonts w:ascii="Times New Roman" w:hAnsi="Times New Roman"/>
                <w:sz w:val="16"/>
              </w:rPr>
              <w:t xml:space="preserve">HR 0.849: warming matters most where coverage is sparse</w:t>
            </w:r>
          </w:p>
        </w:tc>
      </w:tr>
      <w:tr>
        <w:tc>
          <w:tcPr/>
          <w:p>
            <w:pPr>
              <w:pStyle w:val="Compact"/>
              <w:spacing w:line="240" w:lineRule="auto" w:after="0"/>
            </w:pPr>
            <w:r>
              <w:rPr>
                <w:rFonts w:ascii="Times New Roman" w:hAnsi="Times New Roman"/>
                <w:sz w:val="16"/>
              </w:rPr>
              <w:t xml:space="preserve">Offset log</w:t>
            </w:r>
            <w:r>
              <w:rPr>
                <w:rFonts w:ascii="Times New Roman" w:hAnsi="Times New Roman"/>
                <w:sz w:val="16"/>
              </w:rPr>
              <w:t xml:space="preserve"> </w:t>
            </w:r>
            <w:r>
              <w:rPr>
                <w:rFonts w:ascii="Times New Roman" w:hAnsi="Times New Roman"/>
                <w:i/>
                <w:iCs/>
                <w:sz w:val="16"/>
              </w:rPr>
              <w:t xml:space="preserve">c</w:t>
            </w:r>
            <w:r>
              <w:rPr>
                <w:rFonts w:ascii="Times New Roman" w:hAnsi="Times New Roman"/>
                <w:sz w:val="16"/>
              </w:rPr>
              <w:t xml:space="preserve">(</w:t>
            </w:r>
            <w:r>
              <w:rPr>
                <w:rFonts w:ascii="Times New Roman" w:hAnsi="Times New Roman"/>
                <w:i/>
                <w:iCs/>
                <w:sz w:val="16"/>
              </w:rPr>
              <w:t xml:space="preserve">t</w:t>
            </w: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Records enter only after publication, so recent years are under-represented; under incomplete reporting this is exactly an offset, not an approximation</w:t>
            </w:r>
          </w:p>
        </w:tc>
        <w:tc>
          <w:tcPr/>
          <w:p>
            <w:pPr>
              <w:pStyle w:val="Compact"/>
              <w:spacing w:line="240" w:lineRule="auto" w:after="0"/>
            </w:pPr>
            <w:r>
              <w:rPr>
                <w:rFonts w:ascii="Times New Roman" w:hAnsi="Times New Roman"/>
                <w:sz w:val="16"/>
              </w:rPr>
              <w:t xml:space="preserve">Corrects for right-censoring without consuming a degree of freedom</w:t>
            </w:r>
          </w:p>
        </w:tc>
      </w:tr>
      <w:tr>
        <w:tc>
          <w:tcPr/>
          <w:p>
            <w:pPr>
              <w:pStyle w:val="Compact"/>
              <w:spacing w:line="240" w:lineRule="auto" w:after="0"/>
            </w:pPr>
            <w:r>
              <w:rPr>
                <w:rFonts w:ascii="Times New Roman" w:hAnsi="Times New Roman"/>
                <w:sz w:val="16"/>
              </w:rPr>
              <w:t xml:space="preserve">(1|species), SD 0.405</w:t>
            </w:r>
          </w:p>
        </w:tc>
        <w:tc>
          <w:tcPr/>
          <w:p>
            <w:pPr>
              <w:pStyle w:val="Compact"/>
              <w:spacing w:line="240" w:lineRule="auto" w:after="0"/>
            </w:pPr>
            <w:r>
              <w:rPr>
                <w:rFonts w:ascii="Times New Roman" w:hAnsi="Times New Roman"/>
                <w:sz w:val="16"/>
              </w:rPr>
              <w:t xml:space="preserve">Body size, song conspicuousness, habitat accessibility, density and taxonomic attention</w:t>
            </w:r>
          </w:p>
        </w:tc>
        <w:tc>
          <w:tcPr/>
          <w:p>
            <w:pPr>
              <w:pStyle w:val="Compact"/>
              <w:spacing w:line="240" w:lineRule="auto" w:after="0"/>
            </w:pPr>
            <w:r>
              <w:rPr>
                <w:rFonts w:ascii="Times New Roman" w:hAnsi="Times New Roman"/>
                <w:sz w:val="16"/>
              </w:rPr>
              <w:t xml:space="preserve">×1.50 per SD; species span a 3.7-fold range</w:t>
            </w:r>
          </w:p>
        </w:tc>
      </w:tr>
      <w:tr>
        <w:tc>
          <w:tcPr/>
          <w:p>
            <w:pPr>
              <w:pStyle w:val="Compact"/>
              <w:spacing w:line="240" w:lineRule="auto" w:after="0"/>
            </w:pPr>
            <w:r>
              <w:rPr>
                <w:rFonts w:ascii="Times New Roman" w:hAnsi="Times New Roman"/>
                <w:sz w:val="16"/>
              </w:rPr>
              <w:t xml:space="preserve">(1|province), SD 0.326</w:t>
            </w:r>
          </w:p>
        </w:tc>
        <w:tc>
          <w:tcPr/>
          <w:p>
            <w:pPr>
              <w:pStyle w:val="Compact"/>
              <w:spacing w:line="240" w:lineRule="auto" w:after="0"/>
            </w:pPr>
            <w:r>
              <w:rPr>
                <w:rFonts w:ascii="Times New Roman" w:hAnsi="Times New Roman"/>
                <w:sz w:val="16"/>
              </w:rPr>
              <w:t xml:space="preserve">Area, terrain complexity, habitat diversity, observer population, research tradition</w:t>
            </w:r>
          </w:p>
        </w:tc>
        <w:tc>
          <w:tcPr/>
          <w:p>
            <w:pPr>
              <w:pStyle w:val="Compact"/>
              <w:spacing w:line="240" w:lineRule="auto" w:after="0"/>
            </w:pPr>
            <w:r>
              <w:rPr>
                <w:rFonts w:ascii="Times New Roman" w:hAnsi="Times New Roman"/>
                <w:sz w:val="16"/>
              </w:rPr>
              <w:t xml:space="preserve">×1.39 per SD</w:t>
            </w:r>
          </w:p>
        </w:tc>
      </w:tr>
      <w:tr>
        <w:tc>
          <w:tcPr/>
          <w:p>
            <w:pPr>
              <w:pStyle w:val="Compact"/>
              <w:spacing w:line="240" w:lineRule="auto" w:after="0"/>
            </w:pPr>
            <w:r>
              <w:rPr>
                <w:rFonts w:ascii="Times New Roman" w:hAnsi="Times New Roman"/>
                <w:sz w:val="16"/>
              </w:rPr>
              <w:t xml:space="preserve">(1|province:year), SD 0.804</w:t>
            </w:r>
          </w:p>
        </w:tc>
        <w:tc>
          <w:tcPr/>
          <w:p>
            <w:pPr>
              <w:pStyle w:val="Compact"/>
              <w:spacing w:line="240" w:lineRule="auto" w:after="0"/>
            </w:pPr>
            <w:r>
              <w:rPr>
                <w:rFonts w:ascii="Times New Roman" w:hAnsi="Times New Roman"/>
                <w:sz w:val="16"/>
              </w:rPr>
              <w:t xml:space="preserve">The scale at which the observation process operates: regional campaigns, festivals, new reserves, local reporting channels</w:t>
            </w:r>
          </w:p>
        </w:tc>
        <w:tc>
          <w:tcPr/>
          <w:p>
            <w:pPr>
              <w:pStyle w:val="Compact"/>
              <w:spacing w:line="240" w:lineRule="auto" w:after="0"/>
            </w:pPr>
            <w:r>
              <w:rPr>
                <w:rFonts w:ascii="Times New Roman" w:hAnsi="Times New Roman"/>
                <w:sz w:val="16"/>
              </w:rPr>
              <w:t xml:space="preserve">×2.23 per SD, larger than either fixed effect; levels span 13-fold</w:t>
            </w:r>
          </w:p>
        </w:tc>
      </w:tr>
      <w:tr>
        <w:tc>
          <w:tcPr/>
          <w:p>
            <w:pPr>
              <w:pStyle w:val="Compact"/>
              <w:spacing w:line="240" w:lineRule="auto" w:after="0"/>
            </w:pPr>
            <w:r>
              <w:rPr>
                <w:rFonts w:ascii="Times New Roman" w:hAnsi="Times New Roman"/>
                <w:sz w:val="16"/>
              </w:rPr>
              <w:t xml:space="preserve">Baseline 1980–2000</w:t>
            </w:r>
          </w:p>
        </w:tc>
        <w:tc>
          <w:tcPr/>
          <w:p>
            <w:pPr>
              <w:pStyle w:val="Compact"/>
              <w:spacing w:line="240" w:lineRule="auto" w:after="0"/>
            </w:pPr>
            <w:r>
              <w:rPr>
                <w:rFonts w:ascii="Times New Roman" w:hAnsi="Times New Roman"/>
                <w:sz w:val="16"/>
              </w:rPr>
              <w:t xml:space="preserve">Must end before the analysis period, or part of the warming being tested is written into the reference</w:t>
            </w:r>
          </w:p>
        </w:tc>
        <w:tc>
          <w:tcPr/>
          <w:p>
            <w:pPr>
              <w:pStyle w:val="Compact"/>
              <w:spacing w:line="240" w:lineRule="auto" w:after="0"/>
            </w:pPr>
            <w:r>
              <w:rPr>
                <w:rFonts w:ascii="Times New Roman" w:hAnsi="Times New Roman"/>
                <w:sz w:val="16"/>
              </w:rPr>
              <w:t xml:space="preserve">Anomalies measured against the most recent non-overlapping period</w:t>
            </w:r>
          </w:p>
        </w:tc>
      </w:tr>
    </w:tbl>
    <w:p>
      <w:r>
        <w:pict>
          <v:rect style="width:0;height:1.5pt" o:hralign="center" o:hrstd="t" o:hr="t"/>
        </w:pict>
      </w:r>
    </w:p>
    <w:bookmarkEnd w:id="23"/>
    <w:bookmarkStart w:id="24" w:name="Xc751348cde90061247a17d3bb857897693fd48d"/>
    <w:p>
      <w:pPr>
        <w:pStyle w:val="Heading3"/>
      </w:pPr>
      <w:r>
        <w:t xml:space="preserve">Supplementary Table S5. Migratory stratification</w:t>
      </w:r>
    </w:p>
    <w:p>
      <w:pPr>
        <w:pStyle w:val="FirstParagraph"/>
      </w:pPr>
      <w:r>
        <w:t xml:space="preserve">Migratory stratification. Full results in</w:t>
      </w:r>
      <w:r>
        <w:t xml:space="preserve"> </w:t>
      </w:r>
      <w:r>
        <w:rPr>
          <w:rStyle w:val="VerbatimChar"/>
        </w:rPr>
        <w:t xml:space="preserve">tables/tbl_v2_migratory_ladder.csv</w:t>
      </w:r>
      <w:r>
        <w:t xml:space="preserve">,</w:t>
      </w:r>
      <w:r>
        <w:t xml:space="preserve"> </w:t>
      </w:r>
      <w:r>
        <w:rPr>
          <w:rStyle w:val="VerbatimChar"/>
        </w:rPr>
        <w:t xml:space="preserve">tbl_v2_migratory_stratified.csv</w:t>
      </w:r>
      <w:r>
        <w:t xml:space="preserve"> </w:t>
      </w:r>
      <w:r>
        <w:t xml:space="preserve">and</w:t>
      </w:r>
      <w:r>
        <w:t xml:space="preserve"> </w:t>
      </w:r>
      <w:r>
        <w:rPr>
          <w:rStyle w:val="VerbatimChar"/>
        </w:rPr>
        <w:t xml:space="preserve">tbl_v2_migratory_interaction_by_group.csv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Warming HR (95% CI)</w:t>
            </w:r>
          </w:p>
        </w:tc>
        <w:tc>
          <w:tcPr/>
          <w:p>
            <w:pPr>
              <w:pStyle w:val="Compact"/>
              <w:spacing w:line="240" w:lineRule="auto" w:after="0"/>
            </w:pPr>
            <w:r>
              <w:rPr>
                <w:rFonts w:ascii="Times New Roman" w:hAnsi="Times New Roman"/>
                <w:sz w:val="16"/>
              </w:rPr>
              <w:t xml:space="preserve">Effort HR (95% CI)</w:t>
            </w:r>
          </w:p>
        </w:tc>
        <w:tc>
          <w:tcPr/>
          <w:p>
            <w:pPr>
              <w:pStyle w:val="Compact"/>
              <w:spacing w:line="240" w:lineRule="auto" w:after="0"/>
            </w:pPr>
            <w:r>
              <w:rPr>
                <w:rFonts w:ascii="Times New Roman" w:hAnsi="Times New Roman"/>
                <w:sz w:val="16"/>
              </w:rPr>
              <w:t xml:space="preserve">Warming × effort HR</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218</w:t>
            </w:r>
          </w:p>
        </w:tc>
        <w:tc>
          <w:tcPr/>
          <w:p>
            <w:pPr>
              <w:pStyle w:val="Compact"/>
              <w:spacing w:line="240" w:lineRule="auto" w:after="0"/>
            </w:pPr>
            <w:r>
              <w:rPr>
                <w:rFonts w:ascii="Times New Roman" w:hAnsi="Times New Roman"/>
                <w:sz w:val="16"/>
              </w:rPr>
              <w:t xml:space="preserve">1.363 (1.158–1.605)</w:t>
            </w:r>
          </w:p>
        </w:tc>
        <w:tc>
          <w:tcPr/>
          <w:p>
            <w:pPr>
              <w:pStyle w:val="Compact"/>
              <w:spacing w:line="240" w:lineRule="auto" w:after="0"/>
            </w:pPr>
            <w:r>
              <w:rPr>
                <w:rFonts w:ascii="Times New Roman" w:hAnsi="Times New Roman"/>
                <w:sz w:val="16"/>
              </w:rPr>
              <w:t xml:space="preserve">1.293 (1.110–1.506)</w:t>
            </w:r>
          </w:p>
        </w:tc>
        <w:tc>
          <w:tcPr/>
          <w:p>
            <w:pPr>
              <w:pStyle w:val="Compact"/>
              <w:spacing w:line="240" w:lineRule="auto" w:after="0"/>
            </w:pPr>
            <w:r>
              <w:rPr>
                <w:rFonts w:ascii="Times New Roman" w:hAnsi="Times New Roman"/>
                <w:sz w:val="16"/>
              </w:rPr>
              <w:t xml:space="preserve">0.942</w:t>
            </w:r>
          </w:p>
        </w:tc>
        <w:tc>
          <w:tcPr/>
          <w:p>
            <w:pPr>
              <w:pStyle w:val="Compact"/>
              <w:spacing w:line="240" w:lineRule="auto" w:after="0"/>
            </w:pPr>
            <w:r>
              <w:rPr>
                <w:rFonts w:ascii="Times New Roman" w:hAnsi="Times New Roman"/>
                <w:sz w:val="16"/>
              </w:rPr>
              <w:t xml:space="preserve">0.54</w:t>
            </w:r>
          </w:p>
        </w:tc>
      </w:tr>
      <w:tr>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156</w:t>
            </w:r>
          </w:p>
        </w:tc>
        <w:tc>
          <w:tcPr/>
          <w:p>
            <w:pPr>
              <w:pStyle w:val="Compact"/>
              <w:spacing w:line="240" w:lineRule="auto" w:after="0"/>
            </w:pPr>
            <w:r>
              <w:rPr>
                <w:rFonts w:ascii="Times New Roman" w:hAnsi="Times New Roman"/>
                <w:sz w:val="16"/>
              </w:rPr>
              <w:t xml:space="preserve">1.507 (1.244–1.826)</w:t>
            </w:r>
          </w:p>
        </w:tc>
        <w:tc>
          <w:tcPr/>
          <w:p>
            <w:pPr>
              <w:pStyle w:val="Compact"/>
              <w:spacing w:line="240" w:lineRule="auto" w:after="0"/>
            </w:pPr>
            <w:r>
              <w:rPr>
                <w:rFonts w:ascii="Times New Roman" w:hAnsi="Times New Roman"/>
                <w:sz w:val="16"/>
              </w:rPr>
              <w:t xml:space="preserve">1.270 (1.030–1.566)</w:t>
            </w:r>
          </w:p>
        </w:tc>
        <w:tc>
          <w:tcPr/>
          <w:p>
            <w:pPr>
              <w:pStyle w:val="Compact"/>
              <w:spacing w:line="240" w:lineRule="auto" w:after="0"/>
            </w:pPr>
            <w:r>
              <w:rPr>
                <w:rFonts w:ascii="Times New Roman" w:hAnsi="Times New Roman"/>
                <w:sz w:val="16"/>
              </w:rPr>
              <w:t xml:space="preserve">1.053</w:t>
            </w:r>
          </w:p>
        </w:tc>
        <w:tc>
          <w:tcPr/>
          <w:p>
            <w:pPr>
              <w:pStyle w:val="Compact"/>
              <w:spacing w:line="240" w:lineRule="auto" w:after="0"/>
            </w:pPr>
            <w:r>
              <w:rPr>
                <w:rFonts w:ascii="Times New Roman" w:hAnsi="Times New Roman"/>
                <w:sz w:val="16"/>
              </w:rPr>
              <w:t xml:space="preserve">0.62</w:t>
            </w:r>
          </w:p>
        </w:tc>
      </w:tr>
      <w:tr>
        <w:tc>
          <w:tcPr/>
          <w:p>
            <w:pPr>
              <w:pStyle w:val="Compact"/>
              <w:spacing w:line="240" w:lineRule="auto" w:after="0"/>
            </w:pPr>
            <w:r>
              <w:rPr>
                <w:rFonts w:ascii="Times New Roman" w:hAnsi="Times New Roman"/>
                <w:sz w:val="16"/>
              </w:rPr>
              <w:t xml:space="preserve">Long-distance migrant</w:t>
            </w:r>
          </w:p>
        </w:tc>
        <w:tc>
          <w:tcPr/>
          <w:p>
            <w:pPr>
              <w:pStyle w:val="Compact"/>
              <w:spacing w:line="240" w:lineRule="auto" w:after="0"/>
            </w:pPr>
            <w:r>
              <w:rPr>
                <w:rFonts w:ascii="Times New Roman" w:hAnsi="Times New Roman"/>
                <w:sz w:val="16"/>
              </w:rPr>
              <w:t xml:space="preserve">175</w:t>
            </w:r>
          </w:p>
        </w:tc>
        <w:tc>
          <w:tcPr/>
          <w:p>
            <w:pPr>
              <w:pStyle w:val="Compact"/>
              <w:spacing w:line="240" w:lineRule="auto" w:after="0"/>
            </w:pPr>
            <w:r>
              <w:rPr>
                <w:rFonts w:ascii="Times New Roman" w:hAnsi="Times New Roman"/>
                <w:sz w:val="16"/>
              </w:rPr>
              <w:t xml:space="preserve">1.514 (1.265–1.812)</w:t>
            </w:r>
          </w:p>
        </w:tc>
        <w:tc>
          <w:tcPr/>
          <w:p>
            <w:pPr>
              <w:pStyle w:val="Compact"/>
              <w:spacing w:line="240" w:lineRule="auto" w:after="0"/>
            </w:pPr>
            <w:r>
              <w:rPr>
                <w:rFonts w:ascii="Times New Roman" w:hAnsi="Times New Roman"/>
                <w:sz w:val="16"/>
              </w:rPr>
              <w:t xml:space="preserve">1.344 (1.130–1.598)</w:t>
            </w:r>
          </w:p>
        </w:tc>
        <w:tc>
          <w:tcPr/>
          <w:p>
            <w:pPr>
              <w:pStyle w:val="Compact"/>
              <w:spacing w:line="240" w:lineRule="auto" w:after="0"/>
            </w:pPr>
            <w:r>
              <w:rPr>
                <w:rFonts w:ascii="Times New Roman" w:hAnsi="Times New Roman"/>
                <w:sz w:val="16"/>
              </w:rPr>
              <w:t xml:space="preserve">0.753</w:t>
            </w:r>
          </w:p>
        </w:tc>
        <w:tc>
          <w:tcPr/>
          <w:p>
            <w:pPr>
              <w:pStyle w:val="Compact"/>
              <w:spacing w:line="240" w:lineRule="auto" w:after="0"/>
            </w:pPr>
            <w:r>
              <w:rPr>
                <w:rFonts w:ascii="Times New Roman" w:hAnsi="Times New Roman"/>
                <w:sz w:val="16"/>
              </w:rPr>
              <w:t xml:space="preserve">0.0022</w:t>
            </w:r>
          </w:p>
        </w:tc>
      </w:tr>
      <w:tr>
        <w:tc>
          <w:tcPr/>
          <w:p>
            <w:pPr>
              <w:pStyle w:val="Compact"/>
              <w:spacing w:line="240" w:lineRule="auto" w:after="0"/>
            </w:pPr>
            <w:r>
              <w:rPr>
                <w:rFonts w:ascii="Times New Roman" w:hAnsi="Times New Roman"/>
                <w:i/>
                <w:iCs/>
                <w:sz w:val="16"/>
              </w:rPr>
              <w:t xml:space="preserve">Moderation tests</w:t>
            </w:r>
          </w:p>
        </w:tc>
        <w:tc>
          <w:tcPr/>
          <w:p>
            <w:pPr>
              <w:pStyle w:val="Compact"/>
              <w:spacing w:line="240" w:lineRule="auto" w:after="0"/>
            </w:pP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0.693</w:t>
            </w: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0.854</w:t>
            </w:r>
          </w:p>
        </w:tc>
        <w:tc>
          <w:tcPr/>
          <w:p>
            <w:pPr>
              <w:pStyle w:val="Compact"/>
              <w:spacing w:line="240" w:lineRule="auto" w:after="0"/>
            </w:pPr>
            <w:r>
              <w:rPr>
                <w:rFonts w:ascii="Times New Roman" w:hAnsi="Times New Roman"/>
                <w:sz w:val="16"/>
              </w:rPr>
              <w:t xml:space="preserve">three-way 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0.256</w:t>
            </w:r>
          </w:p>
        </w:tc>
        <w:tc>
          <w:tcPr/>
          <w:p>
            <w:pPr>
              <w:pStyle w:val="Compact"/>
              <w:spacing w:line="240" w:lineRule="auto" w:after="0"/>
            </w:pPr>
          </w:p>
        </w:tc>
      </w:tr>
    </w:tbl>
    <w:bookmarkEnd w:id="24"/>
    <w:bookmarkStart w:id="25" w:name="X9eddc13fe5026c34900db5ef6e4228e8bb7e586"/>
    <w:p>
      <w:pPr>
        <w:pStyle w:val="Heading3"/>
      </w:pPr>
      <w:r>
        <w:t xml:space="preserve">Supplementary Table S6. Species-level range measures</w:t>
      </w:r>
    </w:p>
    <w:p>
      <w:pPr>
        <w:pStyle w:val="FirstParagraph"/>
      </w:pPr>
      <w:r>
        <w:t xml:space="preserve">Species-level range measures, all from phylogenetic logistic regression on the dated</w:t>
      </w:r>
      <w:r>
        <w:t xml:space="preserve"> </w:t>
      </w:r>
      <w:r>
        <w:t xml:space="preserve">tree. Full results in</w:t>
      </w:r>
      <w:r>
        <w:t xml:space="preserve"> </w:t>
      </w:r>
      <w:r>
        <w:rPr>
          <w:rStyle w:val="VerbatimChar"/>
        </w:rPr>
        <w:t xml:space="preserve">tables/tbl_v2_species_range_measures.csv</w:t>
      </w:r>
      <w:r>
        <w:t xml:space="preserve"> </w:t>
      </w:r>
      <w:r>
        <w:t xml:space="preserve">and</w:t>
      </w:r>
      <w:r>
        <w:t xml:space="preserve"> </w:t>
      </w:r>
      <w:r>
        <w:rPr>
          <w:rStyle w:val="VerbatimChar"/>
        </w:rPr>
        <w:t xml:space="preserve">tbl_v2_species_range_circularity.csv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Measure</w:t>
            </w:r>
          </w:p>
        </w:tc>
        <w:tc>
          <w:tcPr/>
          <w:p>
            <w:pPr>
              <w:pStyle w:val="Compact"/>
              <w:spacing w:line="240" w:lineRule="auto" w:after="0"/>
            </w:pPr>
            <w:r>
              <w:rPr>
                <w:rFonts w:ascii="Times New Roman" w:hAnsi="Times New Roman"/>
                <w:i/>
                <w:iCs/>
                <w:sz w:val="16"/>
              </w:rPr>
              <w:t xml:space="preserve">n</w:t>
            </w:r>
          </w:p>
        </w:tc>
        <w:tc>
          <w:tcPr/>
          <w:p>
            <w:pPr>
              <w:pStyle w:val="Compact"/>
              <w:spacing w:line="240" w:lineRule="auto" w:after="0"/>
            </w:pPr>
            <w:r>
              <w:rPr>
                <w:rFonts w:ascii="Times New Roman" w:hAnsi="Times New Roman"/>
                <w:sz w:val="16"/>
              </w:rPr>
              <w:t xml:space="preserve">Species with a record</w:t>
            </w:r>
          </w:p>
        </w:tc>
        <w:tc>
          <w:tcPr/>
          <w:p>
            <w:pPr>
              <w:pStyle w:val="Compact"/>
              <w:spacing w:line="240" w:lineRule="auto" w:after="0"/>
            </w:pPr>
            <w:r>
              <w:rPr>
                <w:rFonts w:ascii="Times New Roman" w:hAnsi="Times New Roman"/>
                <w:sz w:val="16"/>
              </w:rPr>
              <w:t xml:space="preserve">OR per SD (95% CI)</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Global range area (AVONET)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1.456 (1.204–1.762)</w:t>
            </w:r>
          </w:p>
        </w:tc>
        <w:tc>
          <w:tcPr/>
          <w:p>
            <w:pPr>
              <w:pStyle w:val="Compact"/>
              <w:spacing w:line="240" w:lineRule="auto" w:after="0"/>
            </w:pPr>
            <w:r>
              <w:rPr>
                <w:rFonts w:ascii="Times New Roman" w:hAnsi="Times New Roman"/>
                <w:sz w:val="16"/>
              </w:rPr>
              <w:t xml:space="preserve">1.1 × 10⁻⁴</w:t>
            </w:r>
          </w:p>
        </w:tc>
      </w:tr>
      <w:tr>
        <w:tc>
          <w:tcPr/>
          <w:p>
            <w:pPr>
              <w:pStyle w:val="Compact"/>
              <w:spacing w:line="240" w:lineRule="auto" w:after="0"/>
            </w:pPr>
            <w:r>
              <w:rPr>
                <w:rFonts w:ascii="Times New Roman" w:hAnsi="Times New Roman"/>
                <w:sz w:val="16"/>
              </w:rPr>
              <w:t xml:space="preserve">China range area (BirdLife, clipped)</w:t>
            </w:r>
          </w:p>
        </w:tc>
        <w:tc>
          <w:tcPr/>
          <w:p>
            <w:pPr>
              <w:pStyle w:val="Compact"/>
              <w:spacing w:line="240" w:lineRule="auto" w:after="0"/>
            </w:pPr>
            <w:r>
              <w:rPr>
                <w:rFonts w:ascii="Times New Roman" w:hAnsi="Times New Roman"/>
                <w:sz w:val="16"/>
              </w:rPr>
              <w:t xml:space="preserve">1,003</w:t>
            </w:r>
          </w:p>
        </w:tc>
        <w:tc>
          <w:tcPr/>
          <w:p>
            <w:pPr>
              <w:pStyle w:val="Compact"/>
              <w:spacing w:line="240" w:lineRule="auto" w:after="0"/>
            </w:pPr>
            <w:r>
              <w:rPr>
                <w:rFonts w:ascii="Times New Roman" w:hAnsi="Times New Roman"/>
                <w:sz w:val="16"/>
              </w:rPr>
              <w:t xml:space="preserve">312</w:t>
            </w:r>
          </w:p>
        </w:tc>
        <w:tc>
          <w:tcPr/>
          <w:p>
            <w:pPr>
              <w:pStyle w:val="Compact"/>
              <w:spacing w:line="240" w:lineRule="auto" w:after="0"/>
            </w:pPr>
            <w:r>
              <w:rPr>
                <w:rFonts w:ascii="Times New Roman" w:hAnsi="Times New Roman"/>
                <w:sz w:val="16"/>
              </w:rPr>
              <w:t xml:space="preserve">1.653 (1.420–1.925)</w:t>
            </w:r>
          </w:p>
        </w:tc>
        <w:tc>
          <w:tcPr/>
          <w:p>
            <w:pPr>
              <w:pStyle w:val="Compact"/>
              <w:spacing w:line="240" w:lineRule="auto" w:after="0"/>
            </w:pPr>
            <w:r>
              <w:rPr>
                <w:rFonts w:ascii="Times New Roman" w:hAnsi="Times New Roman"/>
                <w:sz w:val="16"/>
              </w:rPr>
              <w:t xml:space="preserve">9.0 × 10⁻¹¹</w:t>
            </w:r>
          </w:p>
        </w:tc>
      </w:tr>
      <w:tr>
        <w:tc>
          <w:tcPr/>
          <w:p>
            <w:pPr>
              <w:pStyle w:val="Compact"/>
              <w:spacing w:line="240" w:lineRule="auto" w:after="0"/>
            </w:pPr>
            <w:r>
              <w:rPr>
                <w:rFonts w:ascii="Times New Roman" w:hAnsi="Times New Roman"/>
                <w:sz w:val="16"/>
              </w:rPr>
              <w:t xml:space="preserve">Provinces occupied —</w:t>
            </w:r>
            <w:r>
              <w:rPr>
                <w:rFonts w:ascii="Times New Roman" w:hAnsi="Times New Roman"/>
                <w:sz w:val="16"/>
              </w:rPr>
              <w:t xml:space="preserve"> </w:t>
            </w:r>
            <w:r>
              <w:rPr>
                <w:rFonts w:ascii="Times New Roman" w:hAnsi="Times New Roman"/>
                <w:i/>
                <w:iCs/>
                <w:sz w:val="16"/>
              </w:rPr>
              <w:t xml:space="preserve">not reported as a result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2.09</w:t>
            </w:r>
          </w:p>
        </w:tc>
        <w:tc>
          <w:tcPr/>
          <w:p>
            <w:pPr>
              <w:pStyle w:val="Compact"/>
              <w:spacing w:line="240" w:lineRule="auto" w:after="0"/>
            </w:pPr>
            <w:r>
              <w:rPr>
                <w:rFonts w:ascii="Times New Roman" w:hAnsi="Times New Roman"/>
                <w:sz w:val="16"/>
              </w:rPr>
              <w:t xml:space="preserve">5 × 10⁻¹⁵</w:t>
            </w:r>
          </w:p>
        </w:tc>
      </w:tr>
    </w:tbl>
    <w:bookmarkEnd w:id="25"/>
    <w:bookmarkStart w:id="26" w:name="X3bb27fe3c53e755411f744d4578fb4800832fb0"/>
    <w:p>
      <w:pPr>
        <w:pStyle w:val="Heading3"/>
      </w:pPr>
      <w:r>
        <w:t xml:space="preserve">Supplementary Table S7. Province-level models</w:t>
      </w:r>
    </w:p>
    <w:p>
      <w:pPr>
        <w:pStyle w:val="FirstParagraph"/>
      </w:pPr>
      <w:r>
        <w:t xml:space="preserve">Province-level models. Full results in</w:t>
      </w:r>
      <w:r>
        <w:t xml:space="preserve"> </w:t>
      </w:r>
      <w:r>
        <w:rPr>
          <w:rStyle w:val="VerbatimChar"/>
        </w:rPr>
        <w:t xml:space="preserve">tables/tbl_v2_province_*.csv</w:t>
      </w:r>
      <w:r>
        <w:t xml:space="preserve">.</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Model</w:t>
            </w:r>
          </w:p>
        </w:tc>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AICc</w:t>
            </w:r>
          </w:p>
        </w:tc>
      </w:tr>
      <w:tr>
        <w:tc>
          <w:tcPr/>
          <w:p>
            <w:pPr>
              <w:pStyle w:val="Compact"/>
              <w:spacing w:line="240" w:lineRule="auto" w:after="0"/>
            </w:pPr>
            <w:r>
              <w:rPr>
                <w:rFonts w:ascii="Times New Roman" w:hAnsi="Times New Roman"/>
                <w:sz w:val="16"/>
              </w:rPr>
              <w:t xml:space="preserve">Poisson</w:t>
            </w:r>
          </w:p>
        </w:tc>
        <w:tc>
          <w:tcPr/>
          <w:p>
            <w:pPr>
              <w:pStyle w:val="Compact"/>
              <w:spacing w:line="240" w:lineRule="auto" w:after="0"/>
            </w:pPr>
            <w:r>
              <w:rPr>
                <w:rFonts w:ascii="Times New Roman" w:hAnsi="Times New Roman"/>
                <w:sz w:val="16"/>
              </w:rPr>
              <w:t xml:space="preserve">5.60</w:t>
            </w:r>
          </w:p>
        </w:tc>
        <w:tc>
          <w:tcPr/>
          <w:p>
            <w:pPr>
              <w:pStyle w:val="Compact"/>
              <w:spacing w:line="240" w:lineRule="auto" w:after="0"/>
            </w:pPr>
            <w:r>
              <w:rPr>
                <w:rFonts w:ascii="Times New Roman" w:hAnsi="Times New Roman"/>
                <w:sz w:val="16"/>
              </w:rPr>
              <w:t xml:space="preserve">2.3 × 10⁻¹⁷</w:t>
            </w:r>
          </w:p>
        </w:tc>
        <w:tc>
          <w:tcPr/>
          <w:p>
            <w:pPr>
              <w:pStyle w:val="Compact"/>
              <w:spacing w:line="240" w:lineRule="auto" w:after="0"/>
            </w:pPr>
            <w:r>
              <w:rPr>
                <w:rFonts w:ascii="Times New Roman" w:hAnsi="Times New Roman"/>
                <w:sz w:val="16"/>
              </w:rPr>
              <w:t xml:space="preserve">302.2</w:t>
            </w:r>
          </w:p>
        </w:tc>
      </w:tr>
      <w:tr>
        <w:tc>
          <w:tcPr/>
          <w:p>
            <w:pPr>
              <w:pStyle w:val="Compact"/>
              <w:spacing w:line="240" w:lineRule="auto" w:after="0"/>
            </w:pPr>
            <w:r>
              <w:rPr>
                <w:rFonts w:ascii="Times New Roman" w:hAnsi="Times New Roman"/>
                <w:sz w:val="16"/>
              </w:rPr>
              <w:t xml:space="preserve">Negative binomial</w:t>
            </w:r>
          </w:p>
        </w:tc>
        <w:tc>
          <w:tcPr/>
          <w:p>
            <w:pPr>
              <w:pStyle w:val="Compact"/>
              <w:spacing w:line="240" w:lineRule="auto" w:after="0"/>
            </w:pPr>
            <w:r>
              <w:rPr>
                <w:rFonts w:ascii="Times New Roman" w:hAnsi="Times New Roman"/>
                <w:sz w:val="16"/>
              </w:rPr>
              <w:t xml:space="preserve">1.24</w:t>
            </w:r>
          </w:p>
        </w:tc>
        <w:tc>
          <w:tcPr/>
          <w:p>
            <w:pPr>
              <w:pStyle w:val="Compact"/>
              <w:spacing w:line="240" w:lineRule="auto" w:after="0"/>
            </w:pPr>
            <w:r>
              <w:rPr>
                <w:rFonts w:ascii="Times New Roman" w:hAnsi="Times New Roman"/>
                <w:sz w:val="16"/>
              </w:rPr>
              <w:t xml:space="preserve">0.20</w:t>
            </w:r>
          </w:p>
        </w:tc>
        <w:tc>
          <w:tcPr/>
          <w:p>
            <w:pPr>
              <w:pStyle w:val="Compact"/>
              <w:spacing w:line="240" w:lineRule="auto" w:after="0"/>
            </w:pPr>
            <w:r>
              <w:rPr>
                <w:rFonts w:ascii="Times New Roman" w:hAnsi="Times New Roman"/>
                <w:sz w:val="16"/>
              </w:rPr>
              <w:t xml:space="preserve">246.5</w:t>
            </w:r>
          </w:p>
        </w:tc>
      </w:tr>
      <w:tr>
        <w:tc>
          <w:tcPr/>
          <w:p>
            <w:pPr>
              <w:pStyle w:val="Compact"/>
              <w:spacing w:line="240" w:lineRule="auto" w:after="0"/>
            </w:pPr>
            <w:r>
              <w:rPr>
                <w:rFonts w:ascii="Times New Roman" w:hAnsi="Times New Roman"/>
                <w:sz w:val="16"/>
              </w:rPr>
              <w:t xml:space="preserve">Negative binomial, recent effort as offset</w:t>
            </w:r>
          </w:p>
        </w:tc>
        <w:tc>
          <w:tcPr/>
          <w:p>
            <w:pPr>
              <w:pStyle w:val="Compact"/>
              <w:spacing w:line="240" w:lineRule="auto" w:after="0"/>
            </w:pPr>
            <w:r>
              <w:rPr>
                <w:rFonts w:ascii="Times New Roman" w:hAnsi="Times New Roman"/>
                <w:sz w:val="16"/>
              </w:rPr>
              <w:t xml:space="preserve">1.52</w:t>
            </w:r>
          </w:p>
        </w:tc>
        <w:tc>
          <w:tcPr/>
          <w:p>
            <w:pPr>
              <w:pStyle w:val="Compact"/>
              <w:spacing w:line="240" w:lineRule="auto" w:after="0"/>
            </w:pP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266.8</w:t>
            </w:r>
          </w:p>
        </w:tc>
      </w:tr>
    </w:tbl>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Term</w:t>
            </w:r>
          </w:p>
        </w:tc>
        <w:tc>
          <w:tcPr/>
          <w:p>
            <w:pPr>
              <w:pStyle w:val="Compact"/>
              <w:spacing w:line="240" w:lineRule="auto" w:after="0"/>
            </w:pPr>
            <w:r>
              <w:rPr>
                <w:rFonts w:ascii="Times New Roman" w:hAnsi="Times New Roman"/>
                <w:sz w:val="16"/>
              </w:rPr>
              <w:t xml:space="preserve">Counts, IRR</w:t>
            </w:r>
          </w:p>
        </w:tc>
        <w:tc>
          <w:tcPr/>
          <w:p>
            <w:pPr>
              <w:pStyle w:val="Compact"/>
              <w:spacing w:line="240" w:lineRule="auto" w:after="0"/>
            </w:pPr>
            <w:r>
              <w:rPr>
                <w:rFonts w:ascii="Times New Roman" w:hAnsi="Times New Roman"/>
                <w:sz w:val="16"/>
              </w:rPr>
              <w:t xml:space="preserve">Rate per unit of effort, IRR</w:t>
            </w:r>
          </w:p>
        </w:tc>
      </w:tr>
      <w:tr>
        <w:tc>
          <w:tcPr/>
          <w:p>
            <w:pPr>
              <w:pStyle w:val="Compact"/>
              <w:spacing w:line="240" w:lineRule="auto" w:after="0"/>
            </w:pPr>
            <w:r>
              <w:rPr>
                <w:rFonts w:ascii="Times New Roman" w:hAnsi="Times New Roman"/>
                <w:sz w:val="16"/>
              </w:rPr>
              <w:t xml:space="preserve">Regional species richness</w:t>
            </w:r>
          </w:p>
        </w:tc>
        <w:tc>
          <w:tcPr/>
          <w:p>
            <w:pPr>
              <w:pStyle w:val="Compact"/>
              <w:spacing w:line="240" w:lineRule="auto" w:after="0"/>
            </w:pPr>
            <w:r>
              <w:rPr>
                <w:rFonts w:ascii="Times New Roman" w:hAnsi="Times New Roman"/>
                <w:b/>
                <w:bCs/>
                <w:sz w:val="16"/>
              </w:rPr>
              <w:t xml:space="preserve">1.27</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0.036)</w:t>
            </w:r>
          </w:p>
        </w:tc>
        <w:tc>
          <w:tcPr/>
          <w:p>
            <w:pPr>
              <w:pStyle w:val="Compact"/>
              <w:spacing w:line="240" w:lineRule="auto" w:after="0"/>
            </w:pPr>
            <w:r>
              <w:rPr>
                <w:rFonts w:ascii="Times New Roman" w:hAnsi="Times New Roman"/>
                <w:sz w:val="16"/>
              </w:rPr>
              <w:t xml:space="preserve">0.89</w:t>
            </w:r>
          </w:p>
        </w:tc>
      </w:tr>
      <w:tr>
        <w:tc>
          <w:tcPr/>
          <w:p>
            <w:pPr>
              <w:pStyle w:val="Compact"/>
              <w:spacing w:line="240" w:lineRule="auto" w:after="0"/>
            </w:pPr>
            <w:r>
              <w:rPr>
                <w:rFonts w:ascii="Times New Roman" w:hAnsi="Times New Roman"/>
                <w:sz w:val="16"/>
              </w:rPr>
              <w:t xml:space="preserve">Early survey effort (2002–2008)</w:t>
            </w:r>
          </w:p>
        </w:tc>
        <w:tc>
          <w:tcPr/>
          <w:p>
            <w:pPr>
              <w:pStyle w:val="Compact"/>
              <w:spacing w:line="240" w:lineRule="auto" w:after="0"/>
            </w:pPr>
            <w:r>
              <w:rPr>
                <w:rFonts w:ascii="Times New Roman" w:hAnsi="Times New Roman"/>
                <w:sz w:val="16"/>
              </w:rPr>
              <w:t xml:space="preserve">0.92</w:t>
            </w:r>
          </w:p>
        </w:tc>
        <w:tc>
          <w:tcPr/>
          <w:p>
            <w:pPr>
              <w:pStyle w:val="Compact"/>
              <w:spacing w:line="240" w:lineRule="auto" w:after="0"/>
            </w:pPr>
            <w:r>
              <w:rPr>
                <w:rFonts w:ascii="Times New Roman" w:hAnsi="Times New Roman"/>
                <w:b/>
                <w:bCs/>
                <w:sz w:val="16"/>
              </w:rPr>
              <w:t xml:space="preserve">0.71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0.028)</w:t>
            </w:r>
          </w:p>
        </w:tc>
      </w:tr>
      <w:tr>
        <w:tc>
          <w:tcPr/>
          <w:p>
            <w:pPr>
              <w:pStyle w:val="Compact"/>
              <w:spacing w:line="240" w:lineRule="auto" w:after="0"/>
            </w:pPr>
            <w:r>
              <w:rPr>
                <w:rFonts w:ascii="Times New Roman" w:hAnsi="Times New Roman"/>
                <w:sz w:val="16"/>
              </w:rPr>
              <w:t xml:space="preserve">Recent survey effort (2009–2024)</w:t>
            </w:r>
          </w:p>
        </w:tc>
        <w:tc>
          <w:tcPr/>
          <w:p>
            <w:pPr>
              <w:pStyle w:val="Compact"/>
              <w:spacing w:line="240" w:lineRule="auto" w:after="0"/>
            </w:pPr>
            <w:r>
              <w:rPr>
                <w:rFonts w:ascii="Times New Roman" w:hAnsi="Times New Roman"/>
                <w:sz w:val="16"/>
              </w:rPr>
              <w:t xml:space="preserve">0.93</w:t>
            </w:r>
          </w:p>
        </w:tc>
        <w:tc>
          <w:tcPr/>
          <w:p>
            <w:pPr>
              <w:pStyle w:val="Compact"/>
              <w:spacing w:line="240" w:lineRule="auto" w:after="0"/>
            </w:pPr>
            <w:r>
              <w:rPr>
                <w:rFonts w:ascii="Times New Roman" w:hAnsi="Times New Roman"/>
                <w:i/>
                <w:iCs/>
                <w:sz w:val="16"/>
              </w:rPr>
              <w:t xml:space="preserve">offset</w:t>
            </w:r>
          </w:p>
        </w:tc>
      </w:tr>
      <w:tr>
        <w:tc>
          <w:tcPr/>
          <w:p>
            <w:pPr>
              <w:pStyle w:val="Compact"/>
              <w:spacing w:line="240" w:lineRule="auto" w:after="0"/>
            </w:pPr>
            <w:r>
              <w:rPr>
                <w:rFonts w:ascii="Times New Roman" w:hAnsi="Times New Roman"/>
                <w:sz w:val="16"/>
              </w:rPr>
              <w:t xml:space="preserve">GDP per capita</w:t>
            </w:r>
          </w:p>
        </w:tc>
        <w:tc>
          <w:tcPr/>
          <w:p>
            <w:pPr>
              <w:pStyle w:val="Compact"/>
              <w:spacing w:line="240" w:lineRule="auto" w:after="0"/>
            </w:pPr>
            <w:r>
              <w:rPr>
                <w:rFonts w:ascii="Times New Roman" w:hAnsi="Times New Roman"/>
                <w:sz w:val="16"/>
              </w:rPr>
              <w:t xml:space="preserve">1.10</w:t>
            </w:r>
          </w:p>
        </w:tc>
        <w:tc>
          <w:tcPr/>
          <w:p>
            <w:pPr>
              <w:pStyle w:val="Compact"/>
              <w:spacing w:line="240" w:lineRule="auto" w:after="0"/>
            </w:pPr>
            <w:r>
              <w:rPr>
                <w:rFonts w:ascii="Times New Roman" w:hAnsi="Times New Roman"/>
                <w:b/>
                <w:bCs/>
                <w:sz w:val="16"/>
              </w:rPr>
              <w:t xml:space="preserve">0.61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0.0027)</w:t>
            </w:r>
          </w:p>
        </w:tc>
      </w:tr>
      <w:tr>
        <w:tc>
          <w:tcPr/>
          <w:p>
            <w:pPr>
              <w:pStyle w:val="Compact"/>
              <w:spacing w:line="240" w:lineRule="auto" w:after="0"/>
            </w:pPr>
            <w:r>
              <w:rPr>
                <w:rFonts w:ascii="Times New Roman" w:hAnsi="Times New Roman"/>
                <w:sz w:val="16"/>
              </w:rPr>
              <w:t xml:space="preserve">Administrative area</w:t>
            </w:r>
          </w:p>
        </w:tc>
        <w:tc>
          <w:tcPr/>
          <w:p>
            <w:pPr>
              <w:pStyle w:val="Compact"/>
              <w:spacing w:line="240" w:lineRule="auto" w:after="0"/>
            </w:pPr>
            <w:r>
              <w:rPr>
                <w:rFonts w:ascii="Times New Roman" w:hAnsi="Times New Roman"/>
                <w:sz w:val="16"/>
              </w:rPr>
              <w:t xml:space="preserve">1.17</w:t>
            </w:r>
          </w:p>
        </w:tc>
        <w:tc>
          <w:tcPr/>
          <w:p>
            <w:pPr>
              <w:pStyle w:val="Compact"/>
              <w:spacing w:line="240" w:lineRule="auto" w:after="0"/>
            </w:pPr>
            <w:r>
              <w:rPr>
                <w:rFonts w:ascii="Times New Roman" w:hAnsi="Times New Roman"/>
                <w:sz w:val="16"/>
              </w:rPr>
              <w:t xml:space="preserve">1.20</w:t>
            </w:r>
          </w:p>
        </w:tc>
      </w:tr>
      <w:tr>
        <w:tc>
          <w:tcPr/>
          <w:p>
            <w:pPr>
              <w:pStyle w:val="Compact"/>
              <w:spacing w:line="240" w:lineRule="auto" w:after="0"/>
            </w:pPr>
            <w:r>
              <w:rPr>
                <w:rFonts w:ascii="Times New Roman" w:hAnsi="Times New Roman"/>
                <w:sz w:val="16"/>
              </w:rPr>
              <w:t xml:space="preserve">Habitat heterogeneity</w:t>
            </w:r>
          </w:p>
        </w:tc>
        <w:tc>
          <w:tcPr/>
          <w:p>
            <w:pPr>
              <w:pStyle w:val="Compact"/>
              <w:spacing w:line="240" w:lineRule="auto" w:after="0"/>
            </w:pPr>
            <w:r>
              <w:rPr>
                <w:rFonts w:ascii="Times New Roman" w:hAnsi="Times New Roman"/>
                <w:sz w:val="16"/>
              </w:rPr>
              <w:t xml:space="preserve">0.99</w:t>
            </w:r>
          </w:p>
        </w:tc>
        <w:tc>
          <w:tcPr/>
          <w:p>
            <w:pPr>
              <w:pStyle w:val="Compact"/>
              <w:spacing w:line="240" w:lineRule="auto" w:after="0"/>
            </w:pPr>
            <w:r>
              <w:rPr>
                <w:rFonts w:ascii="Times New Roman" w:hAnsi="Times New Roman"/>
                <w:sz w:val="16"/>
              </w:rPr>
              <w:t xml:space="preserve">1.03</w:t>
            </w:r>
          </w:p>
        </w:tc>
      </w:tr>
    </w:tbl>
    <w:bookmarkEnd w:id="26"/>
    <w:bookmarkStart w:id="27" w:name="Xc5d6b62e2e771814068e78beaa9c943fc89922a"/>
    <w:p>
      <w:pPr>
        <w:pStyle w:val="Heading3"/>
      </w:pPr>
      <w:r>
        <w:t xml:space="preserve">Supplementary Table S8. Species-level effects within groups</w:t>
      </w:r>
    </w:p>
    <w:p>
      <w:pPr>
        <w:pStyle w:val="FirstParagraph"/>
      </w:pPr>
      <w:r>
        <w:t xml:space="preserve">Species-level effects fitted separately within taxonomic and migratory groups, all</w:t>
      </w:r>
      <w:r>
        <w:t xml:space="preserve"> </w:t>
      </w:r>
      <w:r>
        <w:t xml:space="preserve">from phylogenetic logistic regression on the dated tree. Only significant terms are shown; full</w:t>
      </w:r>
      <w:r>
        <w:t xml:space="preserve"> </w:t>
      </w:r>
      <w:r>
        <w:t xml:space="preserve">results in</w:t>
      </w:r>
      <w:r>
        <w:t xml:space="preserve"> </w:t>
      </w:r>
      <w:r>
        <w:rPr>
          <w:rStyle w:val="VerbatimChar"/>
        </w:rPr>
        <w:t xml:space="preserve">tables/tbl_v2_species_group_effects.csv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Grouping</w:t>
            </w:r>
          </w:p>
        </w:tc>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i/>
                <w:iCs/>
                <w:sz w:val="16"/>
              </w:rPr>
              <w:t xml:space="preserve">n</w:t>
            </w:r>
            <w:r>
              <w:rPr>
                <w:rFonts w:ascii="Times New Roman" w:hAnsi="Times New Roman"/>
                <w:sz w:val="16"/>
              </w:rPr>
              <w:t xml:space="preserve"> </w:t>
            </w:r>
            <w:r>
              <w:rPr>
                <w:rFonts w:ascii="Times New Roman" w:hAnsi="Times New Roman"/>
                <w:sz w:val="16"/>
              </w:rPr>
              <w:t xml:space="preserve">species</w:t>
            </w:r>
          </w:p>
        </w:tc>
        <w:tc>
          <w:tcPr/>
          <w:p>
            <w:pPr>
              <w:pStyle w:val="Compact"/>
              <w:spacing w:line="240" w:lineRule="auto" w:after="0"/>
            </w:pPr>
            <w:r>
              <w:rPr>
                <w:rFonts w:ascii="Times New Roman" w:hAnsi="Times New Roman"/>
                <w:sz w:val="16"/>
              </w:rPr>
              <w:t xml:space="preserve">With records</w:t>
            </w:r>
          </w:p>
        </w:tc>
        <w:tc>
          <w:tcPr/>
          <w:p>
            <w:pPr>
              <w:pStyle w:val="Compact"/>
              <w:spacing w:line="240" w:lineRule="auto" w:after="0"/>
            </w:pPr>
            <w:r>
              <w:rPr>
                <w:rFonts w:ascii="Times New Roman" w:hAnsi="Times New Roman"/>
                <w:sz w:val="16"/>
              </w:rPr>
              <w:t xml:space="preserve">Significant terms (OR,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w:t>
            </w:r>
          </w:p>
        </w:tc>
      </w:tr>
      <w:tr>
        <w:tc>
          <w:tcPr/>
          <w:p>
            <w:pPr>
              <w:pStyle w:val="Compact"/>
              <w:spacing w:line="240" w:lineRule="auto" w:after="0"/>
            </w:pPr>
            <w:r>
              <w:rPr>
                <w:rFonts w:ascii="Times New Roman" w:hAnsi="Times New Roman"/>
                <w:sz w:val="16"/>
              </w:rPr>
              <w:t xml:space="preserve">Taxonomic</w:t>
            </w:r>
          </w:p>
        </w:tc>
        <w:tc>
          <w:tcPr/>
          <w:p>
            <w:pPr>
              <w:pStyle w:val="Compact"/>
              <w:spacing w:line="240" w:lineRule="auto" w:after="0"/>
            </w:pPr>
            <w:r>
              <w:rPr>
                <w:rFonts w:ascii="Times New Roman" w:hAnsi="Times New Roman"/>
                <w:sz w:val="16"/>
              </w:rPr>
              <w:t xml:space="preserve">Passeriformes</w:t>
            </w:r>
          </w:p>
        </w:tc>
        <w:tc>
          <w:tcPr/>
          <w:p>
            <w:pPr>
              <w:pStyle w:val="Compact"/>
              <w:spacing w:line="240" w:lineRule="auto" w:after="0"/>
            </w:pPr>
            <w:r>
              <w:rPr>
                <w:rFonts w:ascii="Times New Roman" w:hAnsi="Times New Roman"/>
                <w:sz w:val="16"/>
              </w:rPr>
              <w:t xml:space="preserve">710</w:t>
            </w:r>
          </w:p>
        </w:tc>
        <w:tc>
          <w:tcPr/>
          <w:p>
            <w:pPr>
              <w:pStyle w:val="Compact"/>
              <w:spacing w:line="240" w:lineRule="auto" w:after="0"/>
            </w:pPr>
            <w:r>
              <w:rPr>
                <w:rFonts w:ascii="Times New Roman" w:hAnsi="Times New Roman"/>
                <w:sz w:val="16"/>
              </w:rPr>
              <w:t xml:space="preserve">203</w:t>
            </w:r>
          </w:p>
        </w:tc>
        <w:tc>
          <w:tcPr/>
          <w:p>
            <w:pPr>
              <w:pStyle w:val="Compact"/>
              <w:spacing w:line="240" w:lineRule="auto" w:after="0"/>
            </w:pPr>
            <w:r>
              <w:rPr>
                <w:rFonts w:ascii="Times New Roman" w:hAnsi="Times New Roman"/>
                <w:sz w:val="16"/>
              </w:rPr>
              <w:t xml:space="preserve">Range size 1.53 (0.0020); partial migrant 2.01 (0.0081)</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Non-passerines</w:t>
            </w:r>
          </w:p>
        </w:tc>
        <w:tc>
          <w:tcPr/>
          <w:p>
            <w:pPr>
              <w:pStyle w:val="Compact"/>
              <w:spacing w:line="240" w:lineRule="auto" w:after="0"/>
            </w:pPr>
            <w:r>
              <w:rPr>
                <w:rFonts w:ascii="Times New Roman" w:hAnsi="Times New Roman"/>
                <w:sz w:val="16"/>
              </w:rPr>
              <w:t xml:space="preserve">588</w:t>
            </w:r>
          </w:p>
        </w:tc>
        <w:tc>
          <w:tcPr/>
          <w:p>
            <w:pPr>
              <w:pStyle w:val="Compact"/>
              <w:spacing w:line="240" w:lineRule="auto" w:after="0"/>
            </w:pPr>
            <w:r>
              <w:rPr>
                <w:rFonts w:ascii="Times New Roman" w:hAnsi="Times New Roman"/>
                <w:sz w:val="16"/>
              </w:rPr>
              <w:t xml:space="preserve">131</w:t>
            </w:r>
          </w:p>
        </w:tc>
        <w:tc>
          <w:tcPr/>
          <w:p>
            <w:pPr>
              <w:pStyle w:val="Compact"/>
              <w:spacing w:line="240" w:lineRule="auto" w:after="0"/>
            </w:pPr>
            <w:r>
              <w:rPr>
                <w:rFonts w:ascii="Times New Roman" w:hAnsi="Times New Roman"/>
                <w:sz w:val="16"/>
              </w:rPr>
              <w:t xml:space="preserve">Partial migrant 3.19 (3.3 × 10⁻⁴)</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All species</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Range size 1.44; partial migrant 1.91; open habitat 0.55</w:t>
            </w:r>
          </w:p>
        </w:tc>
      </w:tr>
      <w:tr>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567</w:t>
            </w:r>
          </w:p>
        </w:tc>
        <w:tc>
          <w:tcPr/>
          <w:p>
            <w:pPr>
              <w:pStyle w:val="Compact"/>
              <w:spacing w:line="240" w:lineRule="auto" w:after="0"/>
            </w:pPr>
            <w:r>
              <w:rPr>
                <w:rFonts w:ascii="Times New Roman" w:hAnsi="Times New Roman"/>
                <w:sz w:val="16"/>
              </w:rPr>
              <w:t xml:space="preserve">116</w:t>
            </w:r>
          </w:p>
        </w:tc>
        <w:tc>
          <w:tcPr/>
          <w:p>
            <w:pPr>
              <w:pStyle w:val="Compact"/>
              <w:spacing w:line="240" w:lineRule="auto" w:after="0"/>
            </w:pPr>
            <w:r>
              <w:rPr>
                <w:rFonts w:ascii="Times New Roman" w:hAnsi="Times New Roman"/>
                <w:sz w:val="16"/>
              </w:rPr>
              <w:t xml:space="preserve">Range size 1.60 (0.0042)</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228</w:t>
            </w:r>
          </w:p>
        </w:tc>
        <w:tc>
          <w:tcPr/>
          <w:p>
            <w:pPr>
              <w:pStyle w:val="Compact"/>
              <w:spacing w:line="240" w:lineRule="auto" w:after="0"/>
            </w:pPr>
            <w:r>
              <w:rPr>
                <w:rFonts w:ascii="Times New Roman" w:hAnsi="Times New Roman"/>
                <w:sz w:val="16"/>
              </w:rPr>
              <w:t xml:space="preserve">91</w:t>
            </w:r>
          </w:p>
        </w:tc>
        <w:tc>
          <w:tcPr/>
          <w:p>
            <w:pPr>
              <w:pStyle w:val="Compact"/>
              <w:spacing w:line="240" w:lineRule="auto" w:after="0"/>
            </w:pPr>
            <w:r>
              <w:rPr>
                <w:rFonts w:ascii="Times New Roman" w:hAnsi="Times New Roman"/>
                <w:sz w:val="16"/>
              </w:rPr>
              <w:t xml:space="preserve">Granivore 0.28 (0.044)</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503</w:t>
            </w:r>
          </w:p>
        </w:tc>
        <w:tc>
          <w:tcPr/>
          <w:p>
            <w:pPr>
              <w:pStyle w:val="Compact"/>
              <w:spacing w:line="240" w:lineRule="auto" w:after="0"/>
            </w:pPr>
            <w:r>
              <w:rPr>
                <w:rFonts w:ascii="Times New Roman" w:hAnsi="Times New Roman"/>
                <w:sz w:val="16"/>
              </w:rPr>
              <w:t xml:space="preserve">127</w:t>
            </w:r>
          </w:p>
        </w:tc>
        <w:tc>
          <w:tcPr/>
          <w:p>
            <w:pPr>
              <w:pStyle w:val="Compact"/>
              <w:spacing w:line="240" w:lineRule="auto" w:after="0"/>
            </w:pPr>
            <w:r>
              <w:rPr>
                <w:rFonts w:ascii="Times New Roman" w:hAnsi="Times New Roman"/>
                <w:sz w:val="16"/>
              </w:rPr>
              <w:t xml:space="preserve">Hand-wing index 0.51 (3.8 × 10⁻⁴); body mass 1.74 (0.0037); open habitat 0.42 (0.013)</w:t>
            </w:r>
          </w:p>
        </w:tc>
      </w:tr>
    </w:tbl>
    <w:bookmarkEnd w:id="27"/>
    <w:bookmarkStart w:id="28" w:name="X4cd9b6cd199d691ce3f13c9dc5fd4701c77b213"/>
    <w:p>
      <w:pPr>
        <w:pStyle w:val="Heading3"/>
      </w:pPr>
      <w:r>
        <w:t xml:space="preserve">Supplementary Table S9. Risk-set bridge from compilation to modelling data</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threshold</w:t>
            </w:r>
          </w:p>
        </w:tc>
        <w:tc>
          <w:tcPr/>
          <w:p>
            <w:pPr>
              <w:pStyle w:val="Compact"/>
              <w:spacing w:line="240" w:lineRule="auto" w:after="0"/>
            </w:pPr>
            <w:r>
              <w:rPr>
                <w:rFonts w:ascii="Times New Roman" w:hAnsi="Times New Roman"/>
                <w:sz w:val="16"/>
              </w:rPr>
              <w:t xml:space="preserve">step</w:t>
            </w:r>
          </w:p>
        </w:tc>
        <w:tc>
          <w:tcPr/>
          <w:p>
            <w:pPr>
              <w:pStyle w:val="Compact"/>
              <w:spacing w:line="240" w:lineRule="auto" w:after="0"/>
            </w:pPr>
            <w:r>
              <w:rPr>
                <w:rFonts w:ascii="Times New Roman" w:hAnsi="Times New Roman"/>
                <w:sz w:val="16"/>
              </w:rPr>
              <w:t xml:space="preserve">pairs</w:t>
            </w:r>
          </w:p>
        </w:tc>
        <w:tc>
          <w:tcPr/>
          <w:p>
            <w:pPr>
              <w:pStyle w:val="Compact"/>
              <w:spacing w:line="240" w:lineRule="auto" w:after="0"/>
            </w:pPr>
            <w:r>
              <w:rPr>
                <w:rFonts w:ascii="Times New Roman" w:hAnsi="Times New Roman"/>
                <w:sz w:val="16"/>
              </w:rPr>
              <w:t xml:space="preserve">rows</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note</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8330</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8308</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r>
              <w:rPr>
                <w:rFonts w:ascii="Times New Roman" w:hAnsi="Times New Roman"/>
                <w:sz w:val="16"/>
              </w:rPr>
              <w:t xml:space="preserve">185478</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8140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7667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7645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170229</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165135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7225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7203</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14 event pairs added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160132</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155435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bl>
    <w:bookmarkEnd w:id="28"/>
    <w:bookmarkStart w:id="29" w:name="Xfe98947f22d2800363b9e21f4b22ce21757ea50"/>
    <w:p>
      <w:pPr>
        <w:pStyle w:val="Heading3"/>
      </w:pPr>
      <w:r>
        <w:t xml:space="preserve">Supplementary Table S10. Fine accumulation-window grid, 3–23 years</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spacing w:line="240" w:lineRule="auto" w:after="0"/>
            </w:pPr>
            <w:r>
              <w:rPr>
                <w:rFonts w:ascii="Times New Roman" w:hAnsi="Times New Roman"/>
                <w:sz w:val="16"/>
              </w:rPr>
              <w:t xml:space="preserve">indicator</w:t>
            </w:r>
          </w:p>
        </w:tc>
        <w:tc>
          <w:tcPr/>
          <w:p>
            <w:pPr>
              <w:pStyle w:val="Compact"/>
              <w:spacing w:line="240" w:lineRule="auto" w:after="0"/>
            </w:pPr>
            <w:r>
              <w:rPr>
                <w:rFonts w:ascii="Times New Roman" w:hAnsi="Times New Roman"/>
                <w:sz w:val="16"/>
              </w:rPr>
              <w:t xml:space="preserve">window</w:t>
            </w:r>
          </w:p>
        </w:tc>
        <w:tc>
          <w:tcPr/>
          <w:p>
            <w:pPr>
              <w:pStyle w:val="Compact"/>
              <w:spacing w:line="240" w:lineRule="auto" w:after="0"/>
            </w:pPr>
            <w:r>
              <w:rPr>
                <w:rFonts w:ascii="Times New Roman" w:hAnsi="Times New Roman"/>
                <w:sz w:val="16"/>
              </w:rPr>
              <w:t xml:space="preserve">n</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AIC</w:t>
            </w:r>
          </w:p>
        </w:tc>
        <w:tc>
          <w:tcPr/>
          <w:p>
            <w:pPr>
              <w:pStyle w:val="Compact"/>
              <w:spacing w:line="240" w:lineRule="auto" w:after="0"/>
            </w:pPr>
            <w:r>
              <w:rPr>
                <w:rFonts w:ascii="Times New Roman" w:hAnsi="Times New Roman"/>
                <w:sz w:val="16"/>
              </w:rPr>
              <w:t xml:space="preserve">HR_change</w:t>
            </w:r>
          </w:p>
        </w:tc>
        <w:tc>
          <w:tcPr/>
          <w:p>
            <w:pPr>
              <w:pStyle w:val="Compact"/>
              <w:spacing w:line="240" w:lineRule="auto" w:after="0"/>
            </w:pPr>
            <w:r>
              <w:rPr>
                <w:rFonts w:ascii="Times New Roman" w:hAnsi="Times New Roman"/>
                <w:sz w:val="16"/>
              </w:rPr>
              <w:t xml:space="preserve">P_change</w:t>
            </w:r>
          </w:p>
        </w:tc>
        <w:tc>
          <w:tcPr/>
          <w:p>
            <w:pPr>
              <w:pStyle w:val="Compact"/>
              <w:spacing w:line="240" w:lineRule="auto" w:after="0"/>
            </w:pPr>
            <w:r>
              <w:rPr>
                <w:rFonts w:ascii="Times New Roman" w:hAnsi="Times New Roman"/>
                <w:sz w:val="16"/>
              </w:rPr>
              <w:t xml:space="preserve">HR_effort</w:t>
            </w:r>
          </w:p>
        </w:tc>
        <w:tc>
          <w:tcPr/>
          <w:p>
            <w:pPr>
              <w:pStyle w:val="Compact"/>
              <w:spacing w:line="240" w:lineRule="auto" w:after="0"/>
            </w:pPr>
            <w:r>
              <w:rPr>
                <w:rFonts w:ascii="Times New Roman" w:hAnsi="Times New Roman"/>
                <w:sz w:val="16"/>
              </w:rPr>
              <w:t xml:space="preserve">P_effort</w:t>
            </w:r>
          </w:p>
        </w:tc>
        <w:tc>
          <w:tcPr/>
          <w:p>
            <w:pPr>
              <w:pStyle w:val="Compact"/>
              <w:spacing w:line="240" w:lineRule="auto" w:after="0"/>
            </w:pPr>
            <w:r>
              <w:rPr>
                <w:rFonts w:ascii="Times New Roman" w:hAnsi="Times New Roman"/>
                <w:sz w:val="16"/>
              </w:rPr>
              <w:t xml:space="preserve">HR_var</w:t>
            </w:r>
          </w:p>
        </w:tc>
        <w:tc>
          <w:tcPr/>
          <w:p>
            <w:pPr>
              <w:pStyle w:val="Compact"/>
              <w:spacing w:line="240" w:lineRule="auto" w:after="0"/>
            </w:pPr>
            <w:r>
              <w:rPr>
                <w:rFonts w:ascii="Times New Roman" w:hAnsi="Times New Roman"/>
                <w:sz w:val="16"/>
              </w:rPr>
              <w:t xml:space="preserve">P_var</w:t>
            </w:r>
          </w:p>
        </w:tc>
        <w:tc>
          <w:tcPr/>
          <w:p>
            <w:pPr>
              <w:pStyle w:val="Compact"/>
              <w:spacing w:line="240" w:lineRule="auto" w:after="0"/>
            </w:pPr>
            <w:r>
              <w:rPr>
                <w:rFonts w:ascii="Times New Roman" w:hAnsi="Times New Roman"/>
                <w:sz w:val="16"/>
              </w:rPr>
              <w:t xml:space="preserve">HR_int</w:t>
            </w:r>
          </w:p>
        </w:tc>
        <w:tc>
          <w:tcPr/>
          <w:p>
            <w:pPr>
              <w:pStyle w:val="Compact"/>
              <w:spacing w:line="240" w:lineRule="auto" w:after="0"/>
            </w:pPr>
            <w:r>
              <w:rPr>
                <w:rFonts w:ascii="Times New Roman" w:hAnsi="Times New Roman"/>
                <w:sz w:val="16"/>
              </w:rPr>
              <w:t xml:space="preserve">P_int</w:t>
            </w:r>
          </w:p>
        </w:tc>
        <w:tc>
          <w:tcPr/>
          <w:p>
            <w:pPr>
              <w:pStyle w:val="Compact"/>
              <w:spacing w:line="240" w:lineRule="auto" w:after="0"/>
            </w:pPr>
            <w:r>
              <w:rPr>
                <w:rFonts w:ascii="Times New Roman" w:hAnsi="Times New Roman"/>
                <w:sz w:val="16"/>
              </w:rPr>
              <w:t xml:space="preserve">cor_change_var</w:t>
            </w:r>
          </w:p>
        </w:tc>
        <w:tc>
          <w:tcPr/>
          <w:p>
            <w:pPr>
              <w:pStyle w:val="Compact"/>
              <w:spacing w:line="240" w:lineRule="auto" w:after="0"/>
            </w:pPr>
            <w:r>
              <w:rPr>
                <w:rFonts w:ascii="Times New Roman" w:hAnsi="Times New Roman"/>
                <w:sz w:val="16"/>
              </w:rPr>
              <w:t xml:space="preserve">sd_change</w:t>
            </w:r>
          </w:p>
        </w:tc>
        <w:tc>
          <w:tcPr/>
          <w:p>
            <w:pPr>
              <w:pStyle w:val="Compact"/>
              <w:spacing w:line="240" w:lineRule="auto" w:after="0"/>
            </w:pPr>
            <w:r>
              <w:rPr>
                <w:rFonts w:ascii="Times New Roman" w:hAnsi="Times New Roman"/>
                <w:sz w:val="16"/>
              </w:rPr>
              <w:t xml:space="preserve">sd_var</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8334.74547010848</w:t>
            </w:r>
          </w:p>
        </w:tc>
        <w:tc>
          <w:tcPr/>
          <w:p>
            <w:pPr>
              <w:pStyle w:val="Compact"/>
              <w:spacing w:line="240" w:lineRule="auto" w:after="0"/>
            </w:pPr>
            <w:r>
              <w:rPr>
                <w:rFonts w:ascii="Times New Roman" w:hAnsi="Times New Roman"/>
                <w:sz w:val="16"/>
              </w:rPr>
              <w:t xml:space="preserve">1.16687433053163</w:t>
            </w:r>
          </w:p>
        </w:tc>
        <w:tc>
          <w:tcPr/>
          <w:p>
            <w:pPr>
              <w:pStyle w:val="Compact"/>
              <w:spacing w:line="240" w:lineRule="auto" w:after="0"/>
            </w:pPr>
            <w:r>
              <w:rPr>
                <w:rFonts w:ascii="Times New Roman" w:hAnsi="Times New Roman"/>
                <w:sz w:val="16"/>
              </w:rPr>
              <w:t xml:space="preserve">0.00308143421236181</w:t>
            </w:r>
          </w:p>
        </w:tc>
        <w:tc>
          <w:tcPr/>
          <w:p>
            <w:pPr>
              <w:pStyle w:val="Compact"/>
              <w:spacing w:line="240" w:lineRule="auto" w:after="0"/>
            </w:pPr>
            <w:r>
              <w:rPr>
                <w:rFonts w:ascii="Times New Roman" w:hAnsi="Times New Roman"/>
                <w:sz w:val="16"/>
              </w:rPr>
              <w:t xml:space="preserve">1.39203175633644</w:t>
            </w:r>
          </w:p>
        </w:tc>
        <w:tc>
          <w:tcPr/>
          <w:p>
            <w:pPr>
              <w:pStyle w:val="Compact"/>
              <w:spacing w:line="240" w:lineRule="auto" w:after="0"/>
            </w:pPr>
            <w:r>
              <w:rPr>
                <w:rFonts w:ascii="Times New Roman" w:hAnsi="Times New Roman"/>
                <w:sz w:val="16"/>
              </w:rPr>
              <w:t xml:space="preserve">8.22817372592171e-08</w:t>
            </w:r>
          </w:p>
        </w:tc>
        <w:tc>
          <w:tcPr/>
          <w:p>
            <w:pPr>
              <w:pStyle w:val="Compact"/>
              <w:spacing w:line="240" w:lineRule="auto" w:after="0"/>
            </w:pPr>
            <w:r>
              <w:rPr>
                <w:rFonts w:ascii="Times New Roman" w:hAnsi="Times New Roman"/>
                <w:sz w:val="16"/>
              </w:rPr>
              <w:t xml:space="preserve">1.0102091915128</w:t>
            </w:r>
          </w:p>
        </w:tc>
        <w:tc>
          <w:tcPr/>
          <w:p>
            <w:pPr>
              <w:pStyle w:val="Compact"/>
              <w:spacing w:line="240" w:lineRule="auto" w:after="0"/>
            </w:pPr>
            <w:r>
              <w:rPr>
                <w:rFonts w:ascii="Times New Roman" w:hAnsi="Times New Roman"/>
                <w:sz w:val="16"/>
              </w:rPr>
              <w:t xml:space="preserve">0.824289105225732</w:t>
            </w:r>
          </w:p>
        </w:tc>
        <w:tc>
          <w:tcPr/>
          <w:p>
            <w:pPr>
              <w:pStyle w:val="Compact"/>
              <w:spacing w:line="240" w:lineRule="auto" w:after="0"/>
            </w:pPr>
            <w:r>
              <w:rPr>
                <w:rFonts w:ascii="Times New Roman" w:hAnsi="Times New Roman"/>
                <w:sz w:val="16"/>
              </w:rPr>
              <w:t xml:space="preserve">0.897275949066271</w:t>
            </w:r>
          </w:p>
        </w:tc>
        <w:tc>
          <w:tcPr/>
          <w:p>
            <w:pPr>
              <w:pStyle w:val="Compact"/>
              <w:spacing w:line="240" w:lineRule="auto" w:after="0"/>
            </w:pPr>
            <w:r>
              <w:rPr>
                <w:rFonts w:ascii="Times New Roman" w:hAnsi="Times New Roman"/>
                <w:sz w:val="16"/>
              </w:rPr>
              <w:t xml:space="preserve">0.044704290400132</w:t>
            </w:r>
          </w:p>
        </w:tc>
        <w:tc>
          <w:tcPr/>
          <w:p>
            <w:pPr>
              <w:pStyle w:val="Compact"/>
              <w:spacing w:line="240" w:lineRule="auto" w:after="0"/>
            </w:pPr>
            <w:r>
              <w:rPr>
                <w:rFonts w:ascii="Times New Roman" w:hAnsi="Times New Roman"/>
                <w:sz w:val="16"/>
              </w:rPr>
              <w:t xml:space="preserve">0.0229924154514988</w:t>
            </w:r>
          </w:p>
        </w:tc>
        <w:tc>
          <w:tcPr/>
          <w:p>
            <w:pPr>
              <w:pStyle w:val="Compact"/>
              <w:spacing w:line="240" w:lineRule="auto" w:after="0"/>
            </w:pPr>
            <w:r>
              <w:rPr>
                <w:rFonts w:ascii="Times New Roman" w:hAnsi="Times New Roman"/>
                <w:sz w:val="16"/>
              </w:rPr>
              <w:t xml:space="preserve">0.244518445153784</w:t>
            </w:r>
          </w:p>
        </w:tc>
        <w:tc>
          <w:tcPr/>
          <w:p>
            <w:pPr>
              <w:pStyle w:val="Compact"/>
              <w:spacing w:line="240" w:lineRule="auto" w:after="0"/>
            </w:pPr>
            <w:r>
              <w:rPr>
                <w:rFonts w:ascii="Times New Roman" w:hAnsi="Times New Roman"/>
                <w:sz w:val="16"/>
              </w:rPr>
              <w:t xml:space="preserve">0.307624841763943</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8327.8514269459</w:t>
            </w:r>
          </w:p>
        </w:tc>
        <w:tc>
          <w:tcPr/>
          <w:p>
            <w:pPr>
              <w:pStyle w:val="Compact"/>
              <w:spacing w:line="240" w:lineRule="auto" w:after="0"/>
            </w:pPr>
            <w:r>
              <w:rPr>
                <w:rFonts w:ascii="Times New Roman" w:hAnsi="Times New Roman"/>
                <w:sz w:val="16"/>
              </w:rPr>
              <w:t xml:space="preserve">1.21277497955454</w:t>
            </w:r>
          </w:p>
        </w:tc>
        <w:tc>
          <w:tcPr/>
          <w:p>
            <w:pPr>
              <w:pStyle w:val="Compact"/>
              <w:spacing w:line="240" w:lineRule="auto" w:after="0"/>
            </w:pPr>
            <w:r>
              <w:rPr>
                <w:rFonts w:ascii="Times New Roman" w:hAnsi="Times New Roman"/>
                <w:sz w:val="16"/>
              </w:rPr>
              <w:t xml:space="preserve">0.000613392432158084</w:t>
            </w:r>
          </w:p>
        </w:tc>
        <w:tc>
          <w:tcPr/>
          <w:p>
            <w:pPr>
              <w:pStyle w:val="Compact"/>
              <w:spacing w:line="240" w:lineRule="auto" w:after="0"/>
            </w:pPr>
            <w:r>
              <w:rPr>
                <w:rFonts w:ascii="Times New Roman" w:hAnsi="Times New Roman"/>
                <w:sz w:val="16"/>
              </w:rPr>
              <w:t xml:space="preserve">1.4067312756397</w:t>
            </w:r>
          </w:p>
        </w:tc>
        <w:tc>
          <w:tcPr/>
          <w:p>
            <w:pPr>
              <w:pStyle w:val="Compact"/>
              <w:spacing w:line="240" w:lineRule="auto" w:after="0"/>
            </w:pPr>
            <w:r>
              <w:rPr>
                <w:rFonts w:ascii="Times New Roman" w:hAnsi="Times New Roman"/>
                <w:sz w:val="16"/>
              </w:rPr>
              <w:t xml:space="preserve">3.39416619968756e-08</w:t>
            </w:r>
          </w:p>
        </w:tc>
        <w:tc>
          <w:tcPr/>
          <w:p>
            <w:pPr>
              <w:pStyle w:val="Compact"/>
              <w:spacing w:line="240" w:lineRule="auto" w:after="0"/>
            </w:pPr>
            <w:r>
              <w:rPr>
                <w:rFonts w:ascii="Times New Roman" w:hAnsi="Times New Roman"/>
                <w:sz w:val="16"/>
              </w:rPr>
              <w:t xml:space="preserve">1.02214487466341</w:t>
            </w:r>
          </w:p>
        </w:tc>
        <w:tc>
          <w:tcPr/>
          <w:p>
            <w:pPr>
              <w:pStyle w:val="Compact"/>
              <w:spacing w:line="240" w:lineRule="auto" w:after="0"/>
            </w:pPr>
            <w:r>
              <w:rPr>
                <w:rFonts w:ascii="Times New Roman" w:hAnsi="Times New Roman"/>
                <w:sz w:val="16"/>
              </w:rPr>
              <w:t xml:space="preserve">0.632978890821376</w:t>
            </w:r>
          </w:p>
        </w:tc>
        <w:tc>
          <w:tcPr/>
          <w:p>
            <w:pPr>
              <w:pStyle w:val="Compact"/>
              <w:spacing w:line="240" w:lineRule="auto" w:after="0"/>
            </w:pPr>
            <w:r>
              <w:rPr>
                <w:rFonts w:ascii="Times New Roman" w:hAnsi="Times New Roman"/>
                <w:sz w:val="16"/>
              </w:rPr>
              <w:t xml:space="preserve">0.846781407584866</w:t>
            </w:r>
          </w:p>
        </w:tc>
        <w:tc>
          <w:tcPr/>
          <w:p>
            <w:pPr>
              <w:pStyle w:val="Compact"/>
              <w:spacing w:line="240" w:lineRule="auto" w:after="0"/>
            </w:pPr>
            <w:r>
              <w:rPr>
                <w:rFonts w:ascii="Times New Roman" w:hAnsi="Times New Roman"/>
                <w:sz w:val="16"/>
              </w:rPr>
              <w:t xml:space="preserve">0.00195203763706829</w:t>
            </w:r>
          </w:p>
        </w:tc>
        <w:tc>
          <w:tcPr/>
          <w:p>
            <w:pPr>
              <w:pStyle w:val="Compact"/>
              <w:spacing w:line="240" w:lineRule="auto" w:after="0"/>
            </w:pPr>
            <w:r>
              <w:rPr>
                <w:rFonts w:ascii="Times New Roman" w:hAnsi="Times New Roman"/>
                <w:sz w:val="16"/>
              </w:rPr>
              <w:t xml:space="preserve">-0.00202422619321214</w:t>
            </w:r>
          </w:p>
        </w:tc>
        <w:tc>
          <w:tcPr/>
          <w:p>
            <w:pPr>
              <w:pStyle w:val="Compact"/>
              <w:spacing w:line="240" w:lineRule="auto" w:after="0"/>
            </w:pPr>
            <w:r>
              <w:rPr>
                <w:rFonts w:ascii="Times New Roman" w:hAnsi="Times New Roman"/>
                <w:sz w:val="16"/>
              </w:rPr>
              <w:t xml:space="preserve">0.204928042873436</w:t>
            </w:r>
          </w:p>
        </w:tc>
        <w:tc>
          <w:tcPr/>
          <w:p>
            <w:pPr>
              <w:pStyle w:val="Compact"/>
              <w:spacing w:line="240" w:lineRule="auto" w:after="0"/>
            </w:pPr>
            <w:r>
              <w:rPr>
                <w:rFonts w:ascii="Times New Roman" w:hAnsi="Times New Roman"/>
                <w:sz w:val="16"/>
              </w:rPr>
              <w:t xml:space="preserve">0.340835089204242</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8313.15361099188</w:t>
            </w:r>
          </w:p>
        </w:tc>
        <w:tc>
          <w:tcPr/>
          <w:p>
            <w:pPr>
              <w:pStyle w:val="Compact"/>
              <w:spacing w:line="240" w:lineRule="auto" w:after="0"/>
            </w:pPr>
            <w:r>
              <w:rPr>
                <w:rFonts w:ascii="Times New Roman" w:hAnsi="Times New Roman"/>
                <w:sz w:val="16"/>
              </w:rPr>
              <w:t xml:space="preserve">1.36164754167317</w:t>
            </w:r>
          </w:p>
        </w:tc>
        <w:tc>
          <w:tcPr/>
          <w:p>
            <w:pPr>
              <w:pStyle w:val="Compact"/>
              <w:spacing w:line="240" w:lineRule="auto" w:after="0"/>
            </w:pPr>
            <w:r>
              <w:rPr>
                <w:rFonts w:ascii="Times New Roman" w:hAnsi="Times New Roman"/>
                <w:sz w:val="16"/>
              </w:rPr>
              <w:t xml:space="preserve">8.33903878612454e-08</w:t>
            </w:r>
          </w:p>
        </w:tc>
        <w:tc>
          <w:tcPr/>
          <w:p>
            <w:pPr>
              <w:pStyle w:val="Compact"/>
              <w:spacing w:line="240" w:lineRule="auto" w:after="0"/>
            </w:pPr>
            <w:r>
              <w:rPr>
                <w:rFonts w:ascii="Times New Roman" w:hAnsi="Times New Roman"/>
                <w:sz w:val="16"/>
              </w:rPr>
              <w:t xml:space="preserve">1.4038169859134</w:t>
            </w:r>
          </w:p>
        </w:tc>
        <w:tc>
          <w:tcPr/>
          <w:p>
            <w:pPr>
              <w:pStyle w:val="Compact"/>
              <w:spacing w:line="240" w:lineRule="auto" w:after="0"/>
            </w:pPr>
            <w:r>
              <w:rPr>
                <w:rFonts w:ascii="Times New Roman" w:hAnsi="Times New Roman"/>
                <w:sz w:val="16"/>
              </w:rPr>
              <w:t xml:space="preserve">2.89651690863056e-08</w:t>
            </w:r>
          </w:p>
        </w:tc>
        <w:tc>
          <w:tcPr/>
          <w:p>
            <w:pPr>
              <w:pStyle w:val="Compact"/>
              <w:spacing w:line="240" w:lineRule="auto" w:after="0"/>
            </w:pPr>
            <w:r>
              <w:rPr>
                <w:rFonts w:ascii="Times New Roman" w:hAnsi="Times New Roman"/>
                <w:sz w:val="16"/>
              </w:rPr>
              <w:t xml:space="preserve">0.995095739809156</w:t>
            </w:r>
          </w:p>
        </w:tc>
        <w:tc>
          <w:tcPr/>
          <w:p>
            <w:pPr>
              <w:pStyle w:val="Compact"/>
              <w:spacing w:line="240" w:lineRule="auto" w:after="0"/>
            </w:pPr>
            <w:r>
              <w:rPr>
                <w:rFonts w:ascii="Times New Roman" w:hAnsi="Times New Roman"/>
                <w:sz w:val="16"/>
              </w:rPr>
              <w:t xml:space="preserve">0.91565385817717</w:t>
            </w:r>
          </w:p>
        </w:tc>
        <w:tc>
          <w:tcPr/>
          <w:p>
            <w:pPr>
              <w:pStyle w:val="Compact"/>
              <w:spacing w:line="240" w:lineRule="auto" w:after="0"/>
            </w:pPr>
            <w:r>
              <w:rPr>
                <w:rFonts w:ascii="Times New Roman" w:hAnsi="Times New Roman"/>
                <w:sz w:val="16"/>
              </w:rPr>
              <w:t xml:space="preserve">0.84924794872335</w:t>
            </w:r>
          </w:p>
        </w:tc>
        <w:tc>
          <w:tcPr/>
          <w:p>
            <w:pPr>
              <w:pStyle w:val="Compact"/>
              <w:spacing w:line="240" w:lineRule="auto" w:after="0"/>
            </w:pPr>
            <w:r>
              <w:rPr>
                <w:rFonts w:ascii="Times New Roman" w:hAnsi="Times New Roman"/>
                <w:sz w:val="16"/>
              </w:rPr>
              <w:t xml:space="preserve">0.00365005267236242</w:t>
            </w:r>
          </w:p>
        </w:tc>
        <w:tc>
          <w:tcPr/>
          <w:p>
            <w:pPr>
              <w:pStyle w:val="Compact"/>
              <w:spacing w:line="240" w:lineRule="auto" w:after="0"/>
            </w:pPr>
            <w:r>
              <w:rPr>
                <w:rFonts w:ascii="Times New Roman" w:hAnsi="Times New Roman"/>
                <w:sz w:val="16"/>
              </w:rPr>
              <w:t xml:space="preserve">-0.00581566949011493</w:t>
            </w:r>
          </w:p>
        </w:tc>
        <w:tc>
          <w:tcPr/>
          <w:p>
            <w:pPr>
              <w:pStyle w:val="Compact"/>
              <w:spacing w:line="240" w:lineRule="auto" w:after="0"/>
            </w:pPr>
            <w:r>
              <w:rPr>
                <w:rFonts w:ascii="Times New Roman" w:hAnsi="Times New Roman"/>
                <w:sz w:val="16"/>
              </w:rPr>
              <w:t xml:space="preserve">0.179344940725948</w:t>
            </w:r>
          </w:p>
        </w:tc>
        <w:tc>
          <w:tcPr/>
          <w:p>
            <w:pPr>
              <w:pStyle w:val="Compact"/>
              <w:spacing w:line="240" w:lineRule="auto" w:after="0"/>
            </w:pPr>
            <w:r>
              <w:rPr>
                <w:rFonts w:ascii="Times New Roman" w:hAnsi="Times New Roman"/>
                <w:sz w:val="16"/>
              </w:rPr>
              <w:t xml:space="preserve">0.35561002852531</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20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8310.95070849146</w:t>
            </w:r>
          </w:p>
        </w:tc>
        <w:tc>
          <w:tcPr/>
          <w:p>
            <w:pPr>
              <w:pStyle w:val="Compact"/>
              <w:spacing w:line="240" w:lineRule="auto" w:after="0"/>
            </w:pPr>
            <w:r>
              <w:rPr>
                <w:rFonts w:ascii="Times New Roman" w:hAnsi="Times New Roman"/>
                <w:sz w:val="16"/>
              </w:rPr>
              <w:t xml:space="preserve">1.39643304332344</w:t>
            </w:r>
          </w:p>
        </w:tc>
        <w:tc>
          <w:tcPr/>
          <w:p>
            <w:pPr>
              <w:pStyle w:val="Compact"/>
              <w:spacing w:line="240" w:lineRule="auto" w:after="0"/>
            </w:pPr>
            <w:r>
              <w:rPr>
                <w:rFonts w:ascii="Times New Roman" w:hAnsi="Times New Roman"/>
                <w:sz w:val="16"/>
              </w:rPr>
              <w:t xml:space="preserve">1.48837451312238e-08</w:t>
            </w:r>
          </w:p>
        </w:tc>
        <w:tc>
          <w:tcPr/>
          <w:p>
            <w:pPr>
              <w:pStyle w:val="Compact"/>
              <w:spacing w:line="240" w:lineRule="auto" w:after="0"/>
            </w:pPr>
            <w:r>
              <w:rPr>
                <w:rFonts w:ascii="Times New Roman" w:hAnsi="Times New Roman"/>
                <w:sz w:val="16"/>
              </w:rPr>
              <w:t xml:space="preserve">1.39987775187103</w:t>
            </w:r>
          </w:p>
        </w:tc>
        <w:tc>
          <w:tcPr/>
          <w:p>
            <w:pPr>
              <w:pStyle w:val="Compact"/>
              <w:spacing w:line="240" w:lineRule="auto" w:after="0"/>
            </w:pPr>
            <w:r>
              <w:rPr>
                <w:rFonts w:ascii="Times New Roman" w:hAnsi="Times New Roman"/>
                <w:sz w:val="16"/>
              </w:rPr>
              <w:t xml:space="preserve">3.06713113126806e-08</w:t>
            </w:r>
          </w:p>
        </w:tc>
        <w:tc>
          <w:tcPr/>
          <w:p>
            <w:pPr>
              <w:pStyle w:val="Compact"/>
              <w:spacing w:line="240" w:lineRule="auto" w:after="0"/>
            </w:pPr>
            <w:r>
              <w:rPr>
                <w:rFonts w:ascii="Times New Roman" w:hAnsi="Times New Roman"/>
                <w:sz w:val="16"/>
              </w:rPr>
              <w:t xml:space="preserve">1.0000016932692</w:t>
            </w:r>
          </w:p>
        </w:tc>
        <w:tc>
          <w:tcPr/>
          <w:p>
            <w:pPr>
              <w:pStyle w:val="Compact"/>
              <w:spacing w:line="240" w:lineRule="auto" w:after="0"/>
            </w:pPr>
            <w:r>
              <w:rPr>
                <w:rFonts w:ascii="Times New Roman" w:hAnsi="Times New Roman"/>
                <w:sz w:val="16"/>
              </w:rPr>
              <w:t xml:space="preserve">0.999971191251049</w:t>
            </w:r>
          </w:p>
        </w:tc>
        <w:tc>
          <w:tcPr/>
          <w:p>
            <w:pPr>
              <w:pStyle w:val="Compact"/>
              <w:spacing w:line="240" w:lineRule="auto" w:after="0"/>
            </w:pPr>
            <w:r>
              <w:rPr>
                <w:rFonts w:ascii="Times New Roman" w:hAnsi="Times New Roman"/>
                <w:sz w:val="16"/>
              </w:rPr>
              <w:t xml:space="preserve">0.823324494218752</w:t>
            </w:r>
          </w:p>
        </w:tc>
        <w:tc>
          <w:tcPr/>
          <w:p>
            <w:pPr>
              <w:pStyle w:val="Compact"/>
              <w:spacing w:line="240" w:lineRule="auto" w:after="0"/>
            </w:pPr>
            <w:r>
              <w:rPr>
                <w:rFonts w:ascii="Times New Roman" w:hAnsi="Times New Roman"/>
                <w:sz w:val="16"/>
              </w:rPr>
              <w:t xml:space="preserve">0.000330950948500261</w:t>
            </w:r>
          </w:p>
        </w:tc>
        <w:tc>
          <w:tcPr/>
          <w:p>
            <w:pPr>
              <w:pStyle w:val="Compact"/>
              <w:spacing w:line="240" w:lineRule="auto" w:after="0"/>
            </w:pPr>
            <w:r>
              <w:rPr>
                <w:rFonts w:ascii="Times New Roman" w:hAnsi="Times New Roman"/>
                <w:sz w:val="16"/>
              </w:rPr>
              <w:t xml:space="preserve">0.0396801488719948</w:t>
            </w:r>
          </w:p>
        </w:tc>
        <w:tc>
          <w:tcPr/>
          <w:p>
            <w:pPr>
              <w:pStyle w:val="Compact"/>
              <w:spacing w:line="240" w:lineRule="auto" w:after="0"/>
            </w:pPr>
            <w:r>
              <w:rPr>
                <w:rFonts w:ascii="Times New Roman" w:hAnsi="Times New Roman"/>
                <w:sz w:val="16"/>
              </w:rPr>
              <w:t xml:space="preserve">0.15415453723643</w:t>
            </w:r>
          </w:p>
        </w:tc>
        <w:tc>
          <w:tcPr/>
          <w:p>
            <w:pPr>
              <w:pStyle w:val="Compact"/>
              <w:spacing w:line="240" w:lineRule="auto" w:after="0"/>
            </w:pPr>
            <w:r>
              <w:rPr>
                <w:rFonts w:ascii="Times New Roman" w:hAnsi="Times New Roman"/>
                <w:sz w:val="16"/>
              </w:rPr>
              <w:t xml:space="preserve">0.360154997655603</w:t>
            </w:r>
          </w:p>
        </w:tc>
      </w:tr>
    </w:tbl>
    <w:bookmarkEnd w:id="29"/>
    <w:bookmarkEnd w:id="30"/>
    <w:bookmarkStart w:id="82" w:name="supplementary-figures"/>
    <w:p>
      <w:pPr>
        <w:pStyle w:val="Heading2"/>
      </w:pPr>
      <w:r>
        <w:t xml:space="preserve">Supplementary Figures</w:t>
      </w:r>
    </w:p>
    <w:p>
      <w:pPr>
        <w:pStyle w:val="FirstParagraph"/>
      </w:pPr>
      <w:r>
        <w:drawing>
          <wp:inline>
            <wp:extent cx="5334000" cy="1877567"/>
            <wp:effectExtent b="0" l="0" r="0" t="0"/>
            <wp:docPr descr="" title="" id="32" name="Picture"/>
            <a:graphic>
              <a:graphicData uri="http://schemas.openxmlformats.org/drawingml/2006/picture">
                <pic:pic>
                  <pic:nvPicPr>
                    <pic:cNvPr descr="/Users/dingchenchen/Documents/New%20records/bird-new-distribution-records/tasks/bird_hazard_model_effort_upgrade_v2/analysis_v2/figures/Fig4_random_structure_v2.png" id="33" name="Picture"/>
                    <pic:cNvPicPr>
                      <a:picLocks noChangeArrowheads="1" noChangeAspect="1"/>
                    </pic:cNvPicPr>
                  </pic:nvPicPr>
                  <pic:blipFill>
                    <a:blip r:embed="rId31"/>
                    <a:stretch>
                      <a:fillRect/>
                    </a:stretch>
                  </pic:blipFill>
                  <pic:spPr bwMode="auto">
                    <a:xfrm>
                      <a:off x="0" y="0"/>
                      <a:ext cx="5334000" cy="1877567"/>
                    </a:xfrm>
                    <a:prstGeom prst="rect">
                      <a:avLst/>
                    </a:prstGeom>
                    <a:noFill/>
                    <a:ln w="9525">
                      <a:noFill/>
                      <a:headEnd/>
                      <a:tailEnd/>
                    </a:ln>
                  </pic:spPr>
                </pic:pic>
              </a:graphicData>
            </a:graphic>
          </wp:inline>
        </w:drawing>
      </w:r>
    </w:p>
    <w:p>
      <w:pPr>
        <w:pStyle w:val="BodyText"/>
      </w:pPr>
      <w:r>
        <w:rPr>
          <w:b/>
          <w:bCs/>
        </w:rPr>
        <w:t xml:space="preserve">Fig. S1 | Random-effect structures evaluated on fit, explanatory power, variance structure and ecological meaning.</w:t>
      </w:r>
      <w:r>
        <w:t xml:space="preserve"> </w:t>
      </w:r>
      <w:r>
        <w:rPr>
          <w:b/>
          <w:bCs/>
        </w:rPr>
        <w:t xml:space="preserve">a</w:t>
      </w:r>
      <w:r>
        <w:t xml:space="preserve">, ΔAIC; the main model is highlighted.</w:t>
      </w:r>
      <w:r>
        <w:t xml:space="preserve"> </w:t>
      </w:r>
      <w:r>
        <w:rPr>
          <w:b/>
          <w:bCs/>
        </w:rPr>
        <w:t xml:space="preserve">b</w:t>
      </w:r>
      <w:r>
        <w:t xml:space="preserve">, Conditional</w:t>
      </w:r>
      <w:r>
        <w:t xml:space="preserve"> </w:t>
      </w:r>
      <w:r>
        <w:rPr>
          <w:i/>
          <w:iCs/>
        </w:rPr>
        <w:t xml:space="preserve">R</w:t>
      </w:r>
      <w:r>
        <w:t xml:space="preserve">², conditional AUC and marginal AUC. Marginal AUC is flat across structures, confirming that the random terms absorb observational heterogeneity without redistributing the fixed-effect signal.</w:t>
      </w:r>
      <w:r>
        <w:t xml:space="preserve"> </w:t>
      </w:r>
      <w:r>
        <w:rPr>
          <w:b/>
          <w:bCs/>
        </w:rPr>
        <w:t xml:space="preserve">c</w:t>
      </w:r>
      <w:r>
        <w:t xml:space="preserve">, Random-effect standard deviations on the latent scale; no component collapses in any structure.</w:t>
      </w:r>
    </w:p>
    <w:p>
      <w:pPr>
        <w:pStyle w:val="BodyText"/>
      </w:pPr>
      <w:r>
        <w:drawing>
          <wp:inline>
            <wp:extent cx="5334000" cy="3619500"/>
            <wp:effectExtent b="0" l="0" r="0" t="0"/>
            <wp:docPr descr="" title="" id="35" name="Picture"/>
            <a:graphic>
              <a:graphicData uri="http://schemas.openxmlformats.org/drawingml/2006/picture">
                <pic:pic>
                  <pic:nvPicPr>
                    <pic:cNvPr descr="/Users/dingchenchen/Documents/New%20records/bird-new-distribution-records/tasks/bird_hazard_model_effort_upgrade_v2/analysis_v2/figures/Fig3_specification_robustness_v2.png" id="36" name="Picture"/>
                    <pic:cNvPicPr>
                      <a:picLocks noChangeArrowheads="1" noChangeAspect="1"/>
                    </pic:cNvPicPr>
                  </pic:nvPicPr>
                  <pic:blipFill>
                    <a:blip r:embed="rId34"/>
                    <a:stretch>
                      <a:fillRect/>
                    </a:stretch>
                  </pic:blipFill>
                  <pic:spPr bwMode="auto">
                    <a:xfrm>
                      <a:off x="0" y="0"/>
                      <a:ext cx="5334000" cy="3619500"/>
                    </a:xfrm>
                    <a:prstGeom prst="rect">
                      <a:avLst/>
                    </a:prstGeom>
                    <a:noFill/>
                    <a:ln w="9525">
                      <a:noFill/>
                      <a:headEnd/>
                      <a:tailEnd/>
                    </a:ln>
                  </pic:spPr>
                </pic:pic>
              </a:graphicData>
            </a:graphic>
          </wp:inline>
        </w:drawing>
      </w:r>
    </w:p>
    <w:p>
      <w:pPr>
        <w:pStyle w:val="BodyText"/>
      </w:pPr>
      <w:r>
        <w:rPr>
          <w:b/>
          <w:bCs/>
        </w:rPr>
        <w:t xml:space="preserve">Fig. S2 | The result does not depend on any freely chosen analytical decision.</w:t>
      </w:r>
      <w:r>
        <w:t xml:space="preserve"> </w:t>
      </w:r>
      <w:r>
        <w:rPr>
          <w:b/>
          <w:bCs/>
        </w:rPr>
        <w:t xml:space="preserve">a</w:t>
      </w:r>
      <w:r>
        <w:t xml:space="preserve">, Hazard ratio for accumulated warming across four climate indicators and four accumulation windows; asterisks denote significance.</w:t>
      </w:r>
      <w:r>
        <w:t xml:space="preserve"> </w:t>
      </w:r>
      <w:r>
        <w:rPr>
          <w:b/>
          <w:bCs/>
        </w:rPr>
        <w:t xml:space="preserve">b</w:t>
      </w:r>
      <w:r>
        <w:t xml:space="preserve">, ΔAIC across the same grid, all cells fitted on identical rows.</w:t>
      </w:r>
      <w:r>
        <w:t xml:space="preserve"> </w:t>
      </w:r>
      <w:r>
        <w:rPr>
          <w:b/>
          <w:bCs/>
        </w:rPr>
        <w:t xml:space="preserve">c</w:t>
      </w:r>
      <w:r>
        <w:t xml:space="preserve">, Hazard ratios for survey effort (triangles) and accumulated warming (circles) across four effort proxies and three treatments of the 24 implausible zero cells. AIC is not comparable across missing-data rules because the sample sizes differ, so only coefficients are shown.</w:t>
      </w:r>
    </w:p>
    <w:p>
      <w:pPr>
        <w:pStyle w:val="BodyText"/>
      </w:pPr>
      <w:r>
        <w:drawing>
          <wp:inline>
            <wp:extent cx="5334000" cy="3524250"/>
            <wp:effectExtent b="0" l="0" r="0" t="0"/>
            <wp:docPr descr="" title="" id="38" name="Picture"/>
            <a:graphic>
              <a:graphicData uri="http://schemas.openxmlformats.org/drawingml/2006/picture">
                <pic:pic>
                  <pic:nvPicPr>
                    <pic:cNvPr descr="/Users/dingchenchen/Documents/New%20records/bird-new-distribution-records/tasks/bird_hazard_model_effort_upgrade_v2/analysis_v2/figures/Fig7_window_baseline_sensitivity_v2.png" id="39" name="Picture"/>
                    <pic:cNvPicPr>
                      <a:picLocks noChangeArrowheads="1" noChangeAspect="1"/>
                    </pic:cNvPicPr>
                  </pic:nvPicPr>
                  <pic:blipFill>
                    <a:blip r:embed="rId37"/>
                    <a:stretch>
                      <a:fillRect/>
                    </a:stretch>
                  </pic:blipFill>
                  <pic:spPr bwMode="auto">
                    <a:xfrm>
                      <a:off x="0" y="0"/>
                      <a:ext cx="5334000" cy="3524250"/>
                    </a:xfrm>
                    <a:prstGeom prst="rect">
                      <a:avLst/>
                    </a:prstGeom>
                    <a:noFill/>
                    <a:ln w="9525">
                      <a:noFill/>
                      <a:headEnd/>
                      <a:tailEnd/>
                    </a:ln>
                  </pic:spPr>
                </pic:pic>
              </a:graphicData>
            </a:graphic>
          </wp:inline>
        </w:drawing>
      </w:r>
    </w:p>
    <w:p>
      <w:pPr>
        <w:pStyle w:val="BodyText"/>
      </w:pPr>
      <w:r>
        <w:rPr>
          <w:b/>
          <w:bCs/>
        </w:rPr>
        <w:t xml:space="preserve">Fig. S3 | Accumulation window and climate baseline.</w:t>
      </w:r>
      <w:r>
        <w:t xml:space="preserve"> </w:t>
      </w:r>
      <w:r>
        <w:t xml:space="preserve">Windows of 5, 10, 15 and 20 years against three series: the main WorldClim 10-arc-minute data with a 1980–2000 baseline, the same baseline computed from CRU TS at 0.5° as a control for data source and resolution, and CRU TS with a 1970–2000 baseline.</w:t>
      </w:r>
      <w:r>
        <w:t xml:space="preserve"> </w:t>
      </w:r>
      <w:r>
        <w:rPr>
          <w:b/>
          <w:bCs/>
        </w:rPr>
        <w:t xml:space="preserve">a</w:t>
      </w:r>
      <w:r>
        <w:t xml:space="preserve">, Hazard ratio for accumulated warming.</w:t>
      </w:r>
      <w:r>
        <w:t xml:space="preserve"> </w:t>
      </w:r>
      <w:r>
        <w:rPr>
          <w:b/>
          <w:bCs/>
        </w:rPr>
        <w:t xml:space="preserve">b</w:t>
      </w:r>
      <w:r>
        <w:t xml:space="preserve">, Hazard ratio for survey effort.</w:t>
      </w:r>
      <w:r>
        <w:t xml:space="preserve"> </w:t>
      </w:r>
      <w:r>
        <w:rPr>
          <w:b/>
          <w:bCs/>
        </w:rPr>
        <w:t xml:space="preserve">c</w:t>
      </w:r>
      <w:r>
        <w:t xml:space="preserve">, Hazard ratio for the interaction.</w:t>
      </w:r>
      <w:r>
        <w:t xml:space="preserve"> </w:t>
      </w:r>
      <w:r>
        <w:rPr>
          <w:b/>
          <w:bCs/>
        </w:rPr>
        <w:t xml:space="preserve">d</w:t>
      </w:r>
      <w:r>
        <w:t xml:space="preserve">, ΔAIC within each series; circles mark the optimum. Ribbons are 95% confidence intervals.</w:t>
      </w:r>
    </w:p>
    <w:p>
      <w:pPr>
        <w:pStyle w:val="BodyText"/>
      </w:pPr>
      <w:r>
        <w:drawing>
          <wp:inline>
            <wp:extent cx="5334000" cy="3714749"/>
            <wp:effectExtent b="0" l="0" r="0" t="0"/>
            <wp:docPr descr="" title="" id="41" name="Picture"/>
            <a:graphic>
              <a:graphicData uri="http://schemas.openxmlformats.org/drawingml/2006/picture">
                <pic:pic>
                  <pic:nvPicPr>
                    <pic:cNvPr descr="/Users/dingchenchen/Documents/New%20records/bird-new-distribution-records/tasks/bird_hazard_model_effort_upgrade_v2/analysis_v2/figures/Fig5_model_anatomy_v2.png" id="42" name="Picture"/>
                    <pic:cNvPicPr>
                      <a:picLocks noChangeArrowheads="1" noChangeAspect="1"/>
                    </pic:cNvPicPr>
                  </pic:nvPicPr>
                  <pic:blipFill>
                    <a:blip r:embed="rId40"/>
                    <a:stretch>
                      <a:fillRect/>
                    </a:stretch>
                  </pic:blipFill>
                  <pic:spPr bwMode="auto">
                    <a:xfrm>
                      <a:off x="0" y="0"/>
                      <a:ext cx="5334000" cy="3714749"/>
                    </a:xfrm>
                    <a:prstGeom prst="rect">
                      <a:avLst/>
                    </a:prstGeom>
                    <a:noFill/>
                    <a:ln w="9525">
                      <a:noFill/>
                      <a:headEnd/>
                      <a:tailEnd/>
                    </a:ln>
                  </pic:spPr>
                </pic:pic>
              </a:graphicData>
            </a:graphic>
          </wp:inline>
        </w:drawing>
      </w:r>
    </w:p>
    <w:p>
      <w:pPr>
        <w:pStyle w:val="BodyText"/>
      </w:pPr>
      <w:r>
        <w:rPr>
          <w:b/>
          <w:bCs/>
        </w:rPr>
        <w:t xml:space="preserve">Fig. S4 | Anatomy of the model, in units a reader can picture.</w:t>
      </w:r>
      <w:r>
        <w:t xml:space="preserve"> </w:t>
      </w:r>
      <w:r>
        <w:rPr>
          <w:b/>
          <w:bCs/>
        </w:rPr>
        <w:t xml:space="preserve">a</w:t>
      </w:r>
      <w:r>
        <w:t xml:space="preserve">, Construction of the species-referenced climate gradient, shown as 15-year trailing means for one province and two species. Yunnan has warmed more than the Chinese range of</w:t>
      </w:r>
      <w:r>
        <w:t xml:space="preserve"> </w:t>
      </w:r>
      <w:r>
        <w:rPr>
          <w:i/>
          <w:iCs/>
        </w:rPr>
        <w:t xml:space="preserve">Aethopyga christinae</w:t>
      </w:r>
      <w:r>
        <w:t xml:space="preserve"> </w:t>
      </w:r>
      <w:r>
        <w:t xml:space="preserve">and less than that of</w:t>
      </w:r>
      <w:r>
        <w:t xml:space="preserve"> </w:t>
      </w:r>
      <w:r>
        <w:rPr>
          <w:i/>
          <w:iCs/>
        </w:rPr>
        <w:t xml:space="preserve">Coracias garrulus</w:t>
      </w:r>
      <w:r>
        <w:t xml:space="preserve">, so the same province in the same year yields opposite values of</w:t>
      </w:r>
      <w:r>
        <w:t xml:space="preserve"> </w:t>
      </w:r>
      <w:r>
        <w:rPr>
          <w:i/>
          <w:iCs/>
        </w:rPr>
        <w:t xml:space="preserve">x</w:t>
      </w:r>
      <w:r>
        <w:t xml:space="preserve"> </w:t>
      </w:r>
      <w:r>
        <w:t xml:space="preserve">for the two species.</w:t>
      </w:r>
      <w:r>
        <w:t xml:space="preserve"> </w:t>
      </w:r>
      <w:r>
        <w:rPr>
          <w:b/>
          <w:bCs/>
        </w:rPr>
        <w:t xml:space="preserve">b</w:t>
      </w:r>
      <w:r>
        <w:t xml:space="preserve">, Variance of each climate term partitioned into variation between province-years and variation within a province-year, the latter arising purely from differences among species.</w:t>
      </w:r>
      <w:r>
        <w:t xml:space="preserve"> </w:t>
      </w:r>
      <w:r>
        <w:rPr>
          <w:b/>
          <w:bCs/>
        </w:rPr>
        <w:t xml:space="preserve">c</w:t>
      </w:r>
      <w:r>
        <w:t xml:space="preserve">, Partial effects in natural units: annual hazard against how much more the province has warmed than the species’ range, at three levels of survey effort expressed as annual visits.</w:t>
      </w:r>
      <w:r>
        <w:t xml:space="preserve"> </w:t>
      </w:r>
      <w:r>
        <w:rPr>
          <w:b/>
          <w:bCs/>
        </w:rPr>
        <w:t xml:space="preserve">d</w:t>
      </w:r>
      <w:r>
        <w:t xml:space="preserve">, Every variance component and both focal fixed effects expressed as the hazard multiplier per one standard deviation, on a common axis.</w:t>
      </w:r>
    </w:p>
    <w:p>
      <w:pPr>
        <w:pStyle w:val="BodyText"/>
      </w:pPr>
      <w:r>
        <w:drawing>
          <wp:inline>
            <wp:extent cx="5334000" cy="3556000"/>
            <wp:effectExtent b="0" l="0" r="0" t="0"/>
            <wp:docPr descr="" title="" id="44" name="Picture"/>
            <a:graphic>
              <a:graphicData uri="http://schemas.openxmlformats.org/drawingml/2006/picture">
                <pic:pic>
                  <pic:nvPicPr>
                    <pic:cNvPr descr="/Users/dingchenchen/Documents/New%20records/bird-new-distribution-records/tasks/bird_hazard_model_effort_upgrade_v2/analysis_v2/figures/Fig8_migratory_strategy_v2.png" id="45" name="Picture"/>
                    <pic:cNvPicPr>
                      <a:picLocks noChangeArrowheads="1" noChangeAspect="1"/>
                    </pic:cNvPicPr>
                  </pic:nvPicPr>
                  <pic:blipFill>
                    <a:blip r:embed="rId43"/>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 | Migratory strategy shifts the baseline hazard but does not moderate either driver.</w:t>
      </w:r>
      <w:r>
        <w:t xml:space="preserve"> </w:t>
      </w:r>
      <w:r>
        <w:rPr>
          <w:b/>
          <w:bCs/>
        </w:rPr>
        <w:t xml:space="preserve">a</w:t>
      </w:r>
      <w:r>
        <w:t xml:space="preserve">, Risk-set rows, events and species in each group; the three groups with a known strategy carry 549 events in total.</w:t>
      </w:r>
      <w:r>
        <w:t xml:space="preserve"> </w:t>
      </w:r>
      <w:r>
        <w:rPr>
          <w:b/>
          <w:bCs/>
        </w:rPr>
        <w:t xml:space="preserve">b</w:t>
      </w:r>
      <w:r>
        <w:t xml:space="preserve">, Group-specific hazard ratios from models fitted separately within each group, with 95% confidence intervals.</w:t>
      </w:r>
      <w:r>
        <w:t xml:space="preserve"> </w:t>
      </w:r>
      <w:r>
        <w:rPr>
          <w:b/>
          <w:bCs/>
        </w:rPr>
        <w:t xml:space="preserve">c</w:t>
      </w:r>
      <w:r>
        <w:t xml:space="preserve">, ΔAIC across the moderation ladder; red text is the likelihood-ratio</w:t>
      </w:r>
      <w:r>
        <w:t xml:space="preserve"> </w:t>
      </w:r>
      <w:r>
        <w:rPr>
          <w:i/>
          <w:iCs/>
        </w:rPr>
        <w:t xml:space="preserve">P</w:t>
      </w:r>
      <w:r>
        <w:t xml:space="preserve"> </w:t>
      </w:r>
      <w:r>
        <w:t xml:space="preserve">value against the model with a migratory main effect only.</w:t>
      </w:r>
      <w:r>
        <w:t xml:space="preserve"> </w:t>
      </w:r>
      <w:r>
        <w:rPr>
          <w:b/>
          <w:bCs/>
        </w:rPr>
        <w:t xml:space="preserve">d</w:t>
      </w:r>
      <w:r>
        <w:t xml:space="preserve">, Group-specific warming × effort interaction derived from the three-way model; filled points are significant within group, open points are not. The formal test for heterogeneity among groups is not significant.</w:t>
      </w:r>
    </w:p>
    <w:p>
      <w:pPr>
        <w:pStyle w:val="BodyText"/>
      </w:pPr>
      <w:r>
        <w:drawing>
          <wp:inline>
            <wp:extent cx="5334000" cy="3613354"/>
            <wp:effectExtent b="0" l="0" r="0" t="0"/>
            <wp:docPr descr="" title="" id="47" name="Picture"/>
            <a:graphic>
              <a:graphicData uri="http://schemas.openxmlformats.org/drawingml/2006/picture">
                <pic:pic>
                  <pic:nvPicPr>
                    <pic:cNvPr descr="/Users/dingchenchen/Documents/New%20records/bird-new-distribution-records/tasks/bird_hazard_model_effort_upgrade_v2/analysis_v2/figures/Fig9_species_level_v2.png" id="48" name="Picture"/>
                    <pic:cNvPicPr>
                      <a:picLocks noChangeArrowheads="1" noChangeAspect="1"/>
                    </pic:cNvPicPr>
                  </pic:nvPicPr>
                  <pic:blipFill>
                    <a:blip r:embed="rId46"/>
                    <a:stretch>
                      <a:fillRect/>
                    </a:stretch>
                  </pic:blipFill>
                  <pic:spPr bwMode="auto">
                    <a:xfrm>
                      <a:off x="0" y="0"/>
                      <a:ext cx="5334000" cy="3613354"/>
                    </a:xfrm>
                    <a:prstGeom prst="rect">
                      <a:avLst/>
                    </a:prstGeom>
                    <a:noFill/>
                    <a:ln w="9525">
                      <a:noFill/>
                      <a:headEnd/>
                      <a:tailEnd/>
                    </a:ln>
                  </pic:spPr>
                </pic:pic>
              </a:graphicData>
            </a:graphic>
          </wp:inline>
        </w:drawing>
      </w:r>
    </w:p>
    <w:p>
      <w:pPr>
        <w:pStyle w:val="BodyText"/>
      </w:pPr>
      <w:r>
        <w:rPr>
          <w:b/>
          <w:bCs/>
        </w:rPr>
        <w:t xml:space="preserve">Fig. S6 | Species-level correlates of new provincial records.</w:t>
      </w:r>
      <w:r>
        <w:t xml:space="preserve"> </w:t>
      </w:r>
      <w:r>
        <w:rPr>
          <w:b/>
          <w:bCs/>
        </w:rPr>
        <w:t xml:space="preserve">a</w:t>
      </w:r>
      <w:r>
        <w:t xml:space="preserve">, Continuous traits, as odds ratios per standard deviation with 95% confidence intervals, under three treatments of phylogenetic non-independence. Filled points are significant.</w:t>
      </w:r>
      <w:r>
        <w:t xml:space="preserve"> </w:t>
      </w:r>
      <w:r>
        <w:rPr>
          <w:b/>
          <w:bCs/>
        </w:rPr>
        <w:t xml:space="preserve">b</w:t>
      </w:r>
      <w:r>
        <w:t xml:space="preserve">, Categorical contrasts against their reference levels.</w:t>
      </w:r>
      <w:r>
        <w:t xml:space="preserve"> </w:t>
      </w:r>
      <w:r>
        <w:rPr>
          <w:b/>
          <w:bCs/>
        </w:rPr>
        <w:t xml:space="preserve">c</w:t>
      </w:r>
      <w:r>
        <w:t xml:space="preserve">, Range measured as an area, from two independent sources, against range measured as a count of provinces occupied.</w:t>
      </w:r>
      <w:r>
        <w:t xml:space="preserve"> </w:t>
      </w:r>
      <w:r>
        <w:rPr>
          <w:b/>
          <w:bCs/>
        </w:rPr>
        <w:t xml:space="preserve">d</w:t>
      </w:r>
      <w:r>
        <w:t xml:space="preserve">, For every term, the number of phylogenetic treatments in which it is significant, with the range of odds ratios across treatments.</w:t>
      </w:r>
    </w:p>
    <w:p>
      <w:pPr>
        <w:pStyle w:val="BodyText"/>
      </w:pPr>
      <w:r>
        <w:drawing>
          <wp:inline>
            <wp:extent cx="5334000" cy="3556000"/>
            <wp:effectExtent b="0" l="0" r="0" t="0"/>
            <wp:docPr descr="" title="" id="50" name="Picture"/>
            <a:graphic>
              <a:graphicData uri="http://schemas.openxmlformats.org/drawingml/2006/picture">
                <pic:pic>
                  <pic:nvPicPr>
                    <pic:cNvPr descr="/Users/dingchenchen/Documents/New%20records/bird-new-distribution-records/tasks/bird_hazard_model_effort_upgrade_v2/analysis_v2/figures/Fig10_province_level_v2.png" id="51" name="Picture"/>
                    <pic:cNvPicPr>
                      <a:picLocks noChangeArrowheads="1" noChangeAspect="1"/>
                    </pic:cNvPicPr>
                  </pic:nvPicPr>
                  <pic:blipFill>
                    <a:blip r:embed="rId49"/>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S7 | Province-level counts of new records.</w:t>
      </w:r>
      <w:r>
        <w:t xml:space="preserve"> </w:t>
      </w:r>
      <w:r>
        <w:rPr>
          <w:b/>
          <w:bCs/>
        </w:rPr>
        <w:t xml:space="preserve">a</w:t>
      </w:r>
      <w:r>
        <w:t xml:space="preserve">, Model comparison: Poisson against negative binomial, with and without recent effort as an offset.</w:t>
      </w:r>
      <w:r>
        <w:t xml:space="preserve"> </w:t>
      </w:r>
      <w:r>
        <w:rPr>
          <w:b/>
          <w:bCs/>
        </w:rPr>
        <w:t xml:space="preserve">b</w:t>
      </w:r>
      <w:r>
        <w:t xml:space="preserve">, Incidence rate ratios per standard deviation from the two negative-binomial models.</w:t>
      </w:r>
      <w:r>
        <w:t xml:space="preserve"> </w:t>
      </w:r>
      <w:r>
        <w:rPr>
          <w:b/>
          <w:bCs/>
        </w:rPr>
        <w:t xml:space="preserve">c</w:t>
      </w:r>
      <w:r>
        <w:t xml:space="preserve">, Hierarchical partitioning of explained deviance into independent and joint contributions.</w:t>
      </w:r>
      <w:r>
        <w:t xml:space="preserve"> </w:t>
      </w:r>
      <w:r>
        <w:rPr>
          <w:b/>
          <w:bCs/>
        </w:rPr>
        <w:t xml:space="preserve">d</w:t>
      </w:r>
      <w:r>
        <w:t xml:space="preserve">, Partial correlation of each predictor with the record count, holding the others constant.</w:t>
      </w:r>
    </w:p>
    <w:p>
      <w:pPr>
        <w:pStyle w:val="BodyText"/>
      </w:pPr>
      <w:r>
        <w:drawing>
          <wp:inline>
            <wp:extent cx="5334000" cy="4000500"/>
            <wp:effectExtent b="0" l="0" r="0" t="0"/>
            <wp:docPr descr="" title="" id="53" name="Picture"/>
            <a:graphic>
              <a:graphicData uri="http://schemas.openxmlformats.org/drawingml/2006/picture">
                <pic:pic>
                  <pic:nvPicPr>
                    <pic:cNvPr descr="/Users/dingchenchen/Documents/New%20records/bird-new-distribution-records/tasks/bird_hazard_model_effort_upgrade_v2/analysis_v2/figures/FigS1_dharma_v2.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 S8 | Simulation-based residual diagnostics for the main model.</w:t>
      </w:r>
      <w:r>
        <w:t xml:space="preserve"> </w:t>
      </w:r>
      <w:r>
        <w:rPr>
          <w:b/>
          <w:bCs/>
        </w:rPr>
        <w:t xml:space="preserve">a</w:t>
      </w:r>
      <w:r>
        <w:t xml:space="preserve">, Quantile–quantile plot of DHARMa scaled residuals against the uniform distribution, from 500 simulations; every 40th point is drawn.</w:t>
      </w:r>
      <w:r>
        <w:t xml:space="preserve"> </w:t>
      </w:r>
      <w:r>
        <w:rPr>
          <w:b/>
          <w:bCs/>
        </w:rPr>
        <w:t xml:space="preserve">b</w:t>
      </w:r>
      <w:r>
        <w:t xml:space="preserve">, Kolmogorov–Smirnov</w:t>
      </w:r>
      <w:r>
        <w:t xml:space="preserve"> </w:t>
      </w:r>
      <w:r>
        <w:rPr>
          <w:i/>
          <w:iCs/>
        </w:rPr>
        <w:t xml:space="preserve">P</w:t>
      </w:r>
      <w:r>
        <w:t xml:space="preserve"> </w:t>
      </w:r>
      <w:r>
        <w:t xml:space="preserve">values for the residuals of each year and each province, against the nominal 5% level.</w:t>
      </w:r>
      <w:r>
        <w:t xml:space="preserve"> </w:t>
      </w:r>
      <w:r>
        <w:rPr>
          <w:b/>
          <w:bCs/>
        </w:rPr>
        <w:t xml:space="preserve">c</w:t>
      </w:r>
      <w:r>
        <w:t xml:space="preserve">, Moran’s</w:t>
      </w:r>
      <w:r>
        <w:t xml:space="preserve"> </w:t>
      </w:r>
      <w:r>
        <w:rPr>
          <w:i/>
          <w:iCs/>
        </w:rPr>
        <w:t xml:space="preserve">I</w:t>
      </w:r>
      <w:r>
        <w:t xml:space="preserve"> </w:t>
      </w:r>
      <w:r>
        <w:t xml:space="preserve">of province-mean residuals against a null distribution from 999 permutations of province labels, with inverse-distance weights.</w:t>
      </w:r>
      <w:r>
        <w:t xml:space="preserve"> </w:t>
      </w:r>
      <w:r>
        <w:rPr>
          <w:b/>
          <w:bCs/>
        </w:rPr>
        <w:t xml:space="preserve">d</w:t>
      </w:r>
      <w:r>
        <w:t xml:space="preserve">, Rate of change of each focal coefficient with time on the log-hazard scale, testing the proportional-hazards assumption.</w:t>
      </w:r>
    </w:p>
    <w:p>
      <w:pPr>
        <w:pStyle w:val="BodyText"/>
      </w:pPr>
      <w:r>
        <w:drawing>
          <wp:inline>
            <wp:extent cx="5334000" cy="3269225"/>
            <wp:effectExtent b="0" l="0" r="0" t="0"/>
            <wp:docPr descr="" title="" id="56" name="Picture"/>
            <a:graphic>
              <a:graphicData uri="http://schemas.openxmlformats.org/drawingml/2006/picture">
                <pic:pic>
                  <pic:nvPicPr>
                    <pic:cNvPr descr="/Users/dingchenchen/Documents/New%20records/bird-new-distribution-records/tasks/bird_hazard_model_effort_upgrade_v2/analysis_v2/figures/FigS5_resampling_v2.png" id="57" name="Picture"/>
                    <pic:cNvPicPr>
                      <a:picLocks noChangeArrowheads="1" noChangeAspect="1"/>
                    </pic:cNvPicPr>
                  </pic:nvPicPr>
                  <pic:blipFill>
                    <a:blip r:embed="rId55"/>
                    <a:stretch>
                      <a:fillRect/>
                    </a:stretch>
                  </pic:blipFill>
                  <pic:spPr bwMode="auto">
                    <a:xfrm>
                      <a:off x="0" y="0"/>
                      <a:ext cx="5334000" cy="3269225"/>
                    </a:xfrm>
                    <a:prstGeom prst="rect">
                      <a:avLst/>
                    </a:prstGeom>
                    <a:noFill/>
                    <a:ln w="9525">
                      <a:noFill/>
                      <a:headEnd/>
                      <a:tailEnd/>
                    </a:ln>
                  </pic:spPr>
                </pic:pic>
              </a:graphicData>
            </a:graphic>
          </wp:inline>
        </w:drawing>
      </w:r>
    </w:p>
    <w:p>
      <w:pPr>
        <w:pStyle w:val="BodyText"/>
      </w:pPr>
      <w:r>
        <w:rPr>
          <w:b/>
          <w:bCs/>
        </w:rPr>
        <w:t xml:space="preserve">Fig. S9 | Design-preserving null models, resampling and influence.</w:t>
      </w:r>
      <w:r>
        <w:t xml:space="preserve"> </w:t>
      </w:r>
      <w:r>
        <w:rPr>
          <w:b/>
          <w:bCs/>
        </w:rPr>
        <w:t xml:space="preserve">a</w:t>
      </w:r>
      <w:r>
        <w:t xml:space="preserve">, Null distributions of the four fixed effects under three permutation schemes, each destroying exactly one association while holding the risk set, the per-province-year event counts, the effort and completeness marginals and the random-effect hierarchy fixed (199 permutations each); red lines mark the observed values. The null for accumulated warming is centred near 1.16 rather than unity because permuting within province-years preserves the covariance between provincial-annual climate and provincial-annual event counts.</w:t>
      </w:r>
      <w:r>
        <w:t xml:space="preserve"> </w:t>
      </w:r>
      <w:r>
        <w:rPr>
          <w:b/>
          <w:bCs/>
        </w:rPr>
        <w:t xml:space="preserve">b</w:t>
      </w:r>
      <w:r>
        <w:t xml:space="preserve">, Wald and cluster bootstrap confidence intervals, resampling species (392 clusters) and provinces (31 clusters), 300 times each.</w:t>
      </w:r>
      <w:r>
        <w:t xml:space="preserve"> </w:t>
      </w:r>
      <w:r>
        <w:rPr>
          <w:b/>
          <w:bCs/>
        </w:rPr>
        <w:t xml:space="preserve">c</w:t>
      </w:r>
      <w:r>
        <w:t xml:space="preserve">, Actual coverage of the nominal 95% interval under a parametric bootstrap of 150 simulations from the fitted model, with the bias of each coefficient annotated.</w:t>
      </w:r>
      <w:r>
        <w:t xml:space="preserve"> </w:t>
      </w:r>
      <w:r>
        <w:rPr>
          <w:b/>
          <w:bCs/>
        </w:rPr>
        <w:t xml:space="preserve">d</w:t>
      </w:r>
      <w:r>
        <w:t xml:space="preserve">, Relative change in each hazard ratio when each province, and each of ten species deciles, is held out. Draws converging to degenerate optima (|log hazard ratio| &gt; 2) are excluded throughout; their number is 3 of 199 in the third null, 3 of 300 in the species bootstrap, and none elsewhere.</w:t>
      </w:r>
    </w:p>
    <w:p>
      <w:pPr>
        <w:pStyle w:val="BodyText"/>
      </w:pPr>
      <w:r>
        <w:drawing>
          <wp:inline>
            <wp:extent cx="5334000" cy="3745148"/>
            <wp:effectExtent b="0" l="0" r="0" t="0"/>
            <wp:docPr descr="" title="" id="59" name="Picture"/>
            <a:graphic>
              <a:graphicData uri="http://schemas.openxmlformats.org/drawingml/2006/picture">
                <pic:pic>
                  <pic:nvPicPr>
                    <pic:cNvPr descr="/Users/dingchenchen/Documents/New%20records/bird-new-distribution-records/tasks/bird_hazard_model_effort_upgrade_v2/analysis_v2/figures_future/FigM1_future_mechanistic_v2.png" id="60" name="Picture"/>
                    <pic:cNvPicPr>
                      <a:picLocks noChangeArrowheads="1" noChangeAspect="1"/>
                    </pic:cNvPicPr>
                  </pic:nvPicPr>
                  <pic:blipFill>
                    <a:blip r:embed="rId58"/>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S10 | Mechanistic projection of the latent generation hazard, restricted to the fitted covariate support.</w:t>
      </w:r>
      <w:r>
        <w:t xml:space="preserve"> </w:t>
      </w:r>
      <w:r>
        <w:t xml:space="preserve">Provincial hazard relative to 2024 under two SSP scenarios at three horizons, aggregating only species-province cells whose accumulated warming and survey effort fall inside the 1st–99th percentile of the fitted data. The percentage on each panel is the share of cells that qualify.</w:t>
      </w:r>
    </w:p>
    <w:p>
      <w:pPr>
        <w:pStyle w:val="BodyText"/>
      </w:pPr>
      <w:r>
        <w:drawing>
          <wp:inline>
            <wp:extent cx="5334000" cy="3745148"/>
            <wp:effectExtent b="0" l="0" r="0" t="0"/>
            <wp:docPr descr="" title="" id="62" name="Picture"/>
            <a:graphic>
              <a:graphicData uri="http://schemas.openxmlformats.org/drawingml/2006/picture">
                <pic:pic>
                  <pic:nvPicPr>
                    <pic:cNvPr descr="/Users/dingchenchen/Documents/New%20records/bird-new-distribution-records/tasks/bird_hazard_model_effort_upgrade_v2/analysis_v2/figures_future/FigS3_future_unmasked_v2.png" id="63" name="Picture"/>
                    <pic:cNvPicPr>
                      <a:picLocks noChangeArrowheads="1" noChangeAspect="1"/>
                    </pic:cNvPicPr>
                  </pic:nvPicPr>
                  <pic:blipFill>
                    <a:blip r:embed="rId61"/>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S11 | The same mechanistic projection without the support mask</w:t>
      </w:r>
      <w:r>
        <w:t xml:space="preserve">, shown to indicate the magnitude of the extrapolation.</w:t>
      </w:r>
    </w:p>
    <w:p>
      <w:pPr>
        <w:pStyle w:val="BodyText"/>
      </w:pPr>
      <w:r>
        <w:drawing>
          <wp:inline>
            <wp:extent cx="5334000" cy="3745148"/>
            <wp:effectExtent b="0" l="0" r="0" t="0"/>
            <wp:docPr descr="" title="" id="65" name="Picture"/>
            <a:graphic>
              <a:graphicData uri="http://schemas.openxmlformats.org/drawingml/2006/picture">
                <pic:pic>
                  <pic:nvPicPr>
                    <pic:cNvPr descr="/Users/dingchenchen/Documents/New%20records/bird-new-distribution-records/tasks/bird_hazard_model_effort_upgrade_v2/analysis_v2/figures_future/FigM2_future_ml_v2.png" id="66" name="Picture"/>
                    <pic:cNvPicPr>
                      <a:picLocks noChangeArrowheads="1" noChangeAspect="1"/>
                    </pic:cNvPicPr>
                  </pic:nvPicPr>
                  <pic:blipFill>
                    <a:blip r:embed="rId64"/>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S12 | Machine-learning projection under identical inputs and the same support mask.</w:t>
      </w:r>
    </w:p>
    <w:p>
      <w:pPr>
        <w:pStyle w:val="BodyText"/>
      </w:pPr>
      <w:r>
        <w:drawing>
          <wp:inline>
            <wp:extent cx="5334000" cy="3660588"/>
            <wp:effectExtent b="0" l="0" r="0" t="0"/>
            <wp:docPr descr="" title="" id="68" name="Picture"/>
            <a:graphic>
              <a:graphicData uri="http://schemas.openxmlformats.org/drawingml/2006/picture">
                <pic:pic>
                  <pic:nvPicPr>
                    <pic:cNvPr descr="/Users/dingchenchen/Documents/New%20records/bird-new-distribution-records/tasks/bird_hazard_model_effort_upgrade_v2/analysis_v2/figures_pa/FigP1_pa_enrichment.png" id="69" name="Picture"/>
                    <pic:cNvPicPr>
                      <a:picLocks noChangeArrowheads="1" noChangeAspect="1"/>
                    </pic:cNvPicPr>
                  </pic:nvPicPr>
                  <pic:blipFill>
                    <a:blip r:embed="rId67"/>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S13 | Enrichment of new records inside mapped nature reserves, decomposed against the observation process.</w:t>
      </w:r>
      <w:r>
        <w:t xml:space="preserve"> </w:t>
      </w:r>
      <w:r>
        <w:rPr>
          <w:b/>
          <w:bCs/>
        </w:rPr>
        <w:t xml:space="preserve">a</w:t>
      </w:r>
      <w:r>
        <w:t xml:space="preserve">, Share of records, checklist-weighted birding effort, birding locations and land area inside the 1,028 mapped reserves.</w:t>
      </w:r>
      <w:r>
        <w:t xml:space="preserve"> </w:t>
      </w:r>
      <w:r>
        <w:rPr>
          <w:b/>
          <w:bCs/>
        </w:rPr>
        <w:t xml:space="preserve">b</w:t>
      </w:r>
      <w:r>
        <w:t xml:space="preserve">, Conditional logistic estimand ladder, each event matched to 200 same-province same-year checklist-weighted control locations.</w:t>
      </w:r>
      <w:r>
        <w:t xml:space="preserve"> </w:t>
      </w:r>
      <w:r>
        <w:rPr>
          <w:b/>
          <w:bCs/>
        </w:rPr>
        <w:t xml:space="preserve">c</w:t>
      </w:r>
      <w:r>
        <w:t xml:space="preserve">, Robustness across host-reserve exclusions, period splits and discovery-method subsets.</w:t>
      </w:r>
      <w:r>
        <w:t xml:space="preserve"> </w:t>
      </w:r>
      <w:r>
        <w:rPr>
          <w:b/>
          <w:bCs/>
        </w:rPr>
        <w:t xml:space="preserve">d</w:t>
      </w:r>
      <w:r>
        <w:t xml:space="preserve">, Concentration of inside-reserve events among host reserves.</w:t>
      </w:r>
    </w:p>
    <w:p>
      <w:pPr>
        <w:pStyle w:val="BodyText"/>
      </w:pPr>
      <w:r>
        <w:drawing>
          <wp:inline>
            <wp:extent cx="5334000" cy="3660588"/>
            <wp:effectExtent b="0" l="0" r="0" t="0"/>
            <wp:docPr descr="" title="" id="71" name="Picture"/>
            <a:graphic>
              <a:graphicData uri="http://schemas.openxmlformats.org/drawingml/2006/picture">
                <pic:pic>
                  <pic:nvPicPr>
                    <pic:cNvPr descr="/Users/dingchenchen/Documents/New%20records/bird-new-distribution-records/tasks/bird_hazard_model_effort_upgrade_v2/analysis_v2/figures_pa/FigP2_pa_persistence.png" id="72" name="Picture"/>
                    <pic:cNvPicPr>
                      <a:picLocks noChangeArrowheads="1" noChangeAspect="1"/>
                    </pic:cNvPicPr>
                  </pic:nvPicPr>
                  <pic:blipFill>
                    <a:blip r:embed="rId70"/>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S14 | Reserve status does not raise the probability that a first record becomes a persistent presence.</w:t>
      </w:r>
      <w:r>
        <w:t xml:space="preserve"> </w:t>
      </w:r>
      <w:r>
        <w:t xml:space="preserve">Re-detection of the same species in the same province in the GBIF/eBird layer, raw and adjusted for subsequent survey effort, with pre-declared equivalence bounds.</w:t>
      </w:r>
    </w:p>
    <w:p>
      <w:pPr>
        <w:pStyle w:val="BodyText"/>
      </w:pPr>
      <w:r>
        <w:drawing>
          <wp:inline>
            <wp:extent cx="5334000" cy="3974352"/>
            <wp:effectExtent b="0" l="0" r="0" t="0"/>
            <wp:docPr descr="" title="" id="74" name="Picture"/>
            <a:graphic>
              <a:graphicData uri="http://schemas.openxmlformats.org/drawingml/2006/picture">
                <pic:pic>
                  <pic:nvPicPr>
                    <pic:cNvPr descr="/Users/dingchenchen/Documents/New%20records/bird-new-distribution-records/tasks/bird_hazard_model_effort_upgrade_v2/analysis_v2/figures_pa/FigP3_pa_mismatch_monitoring.png" id="75" name="Picture"/>
                    <pic:cNvPicPr>
                      <a:picLocks noChangeArrowheads="1" noChangeAspect="1"/>
                    </pic:cNvPicPr>
                  </pic:nvPicPr>
                  <pic:blipFill>
                    <a:blip r:embed="rId73"/>
                    <a:stretch>
                      <a:fillRect/>
                    </a:stretch>
                  </pic:blipFill>
                  <pic:spPr bwMode="auto">
                    <a:xfrm>
                      <a:off x="0" y="0"/>
                      <a:ext cx="5334000" cy="3974352"/>
                    </a:xfrm>
                    <a:prstGeom prst="rect">
                      <a:avLst/>
                    </a:prstGeom>
                    <a:noFill/>
                    <a:ln w="9525">
                      <a:noFill/>
                      <a:headEnd/>
                      <a:tailEnd/>
                    </a:ln>
                  </pic:spPr>
                </pic:pic>
              </a:graphicData>
            </a:graphic>
          </wp:inline>
        </w:drawing>
      </w:r>
    </w:p>
    <w:p>
      <w:pPr>
        <w:pStyle w:val="BodyText"/>
      </w:pPr>
      <w:r>
        <w:rPr>
          <w:b/>
          <w:bCs/>
        </w:rPr>
        <w:t xml:space="preserve">Fig. S15 | The mapped reserve network shows no measurable mismatch with observed cell-level warming.</w:t>
      </w:r>
      <w:r>
        <w:t xml:space="preserve"> </w:t>
      </w:r>
      <w:r>
        <w:rPr>
          <w:b/>
          <w:bCs/>
        </w:rPr>
        <w:t xml:space="preserve">a</w:t>
      </w:r>
      <w:r>
        <w:t xml:space="preserve">, Area-weighted reserve coverage across warming quintiles under provincial-broadcast versus recomputed cell-level warming.</w:t>
      </w:r>
      <w:r>
        <w:t xml:space="preserve"> </w:t>
      </w:r>
      <w:r>
        <w:rPr>
          <w:b/>
          <w:bCs/>
        </w:rPr>
        <w:t xml:space="preserve">b</w:t>
      </w:r>
      <w:r>
        <w:t xml:space="preserve">, Stratified permutation within province × elevation bands.</w:t>
      </w:r>
      <w:r>
        <w:t xml:space="preserve"> </w:t>
      </w:r>
      <w:r>
        <w:rPr>
          <w:b/>
          <w:bCs/>
        </w:rPr>
        <w:t xml:space="preserve">c</w:t>
      </w:r>
      <w:r>
        <w:t xml:space="preserve">–</w:t>
      </w:r>
      <w:r>
        <w:rPr>
          <w:b/>
          <w:bCs/>
        </w:rPr>
        <w:t xml:space="preserve">d</w:t>
      </w:r>
      <w:r>
        <w:t xml:space="preserve">, Monitoring-grafting priority classes.</w:t>
      </w:r>
    </w:p>
    <w:p>
      <w:pPr>
        <w:pStyle w:val="BodyText"/>
      </w:pPr>
      <w:r>
        <w:drawing>
          <wp:inline>
            <wp:extent cx="5334000" cy="5626273"/>
            <wp:effectExtent b="0" l="0" r="0" t="0"/>
            <wp:docPr descr="" title="" id="77" name="Picture"/>
            <a:graphic>
              <a:graphicData uri="http://schemas.openxmlformats.org/drawingml/2006/picture">
                <pic:pic>
                  <pic:nvPicPr>
                    <pic:cNvPr descr="/Users/dingchenchen/Documents/New%20records/bird-new-distribution-records/tasks/bird_hazard_model_effort_upgrade_v2/analysis_v2/figures_direction/combined/order_direction_windrose_facets.png" id="78" name="Picture"/>
                    <pic:cNvPicPr>
                      <a:picLocks noChangeArrowheads="1" noChangeAspect="1"/>
                    </pic:cNvPicPr>
                  </pic:nvPicPr>
                  <pic:blipFill>
                    <a:blip r:embed="rId76"/>
                    <a:stretch>
                      <a:fillRect/>
                    </a:stretch>
                  </pic:blipFill>
                  <pic:spPr bwMode="auto">
                    <a:xfrm>
                      <a:off x="0" y="0"/>
                      <a:ext cx="5334000" cy="5626273"/>
                    </a:xfrm>
                    <a:prstGeom prst="rect">
                      <a:avLst/>
                    </a:prstGeom>
                    <a:noFill/>
                    <a:ln w="9525">
                      <a:noFill/>
                      <a:headEnd/>
                      <a:tailEnd/>
                    </a:ln>
                  </pic:spPr>
                </pic:pic>
              </a:graphicData>
            </a:graphic>
          </wp:inline>
        </w:drawing>
      </w:r>
    </w:p>
    <w:p>
      <w:pPr>
        <w:pStyle w:val="BodyText"/>
      </w:pPr>
      <w:r>
        <w:rPr>
          <w:b/>
          <w:bCs/>
        </w:rPr>
        <w:t xml:space="preserve">Fig. S16 | Per-order directionality of new records relative to species’ range centroids.</w:t>
      </w:r>
      <w:r>
        <w:t xml:space="preserve"> </w:t>
      </w:r>
      <w:r>
        <w:t xml:space="preserve">Wind-rose panels for the sixteen best-sampled orders, each annotated with its number of records and species.</w:t>
      </w:r>
    </w:p>
    <w:p>
      <w:pPr>
        <w:pStyle w:val="BodyText"/>
      </w:pPr>
      <w:r>
        <w:drawing>
          <wp:inline>
            <wp:extent cx="5334000" cy="1842654"/>
            <wp:effectExtent b="0" l="0" r="0" t="0"/>
            <wp:docPr descr="" title="" id="80" name="Picture"/>
            <a:graphic>
              <a:graphicData uri="http://schemas.openxmlformats.org/drawingml/2006/picture">
                <pic:pic>
                  <pic:nvPicPr>
                    <pic:cNvPr descr="/Users/dingchenchen/Documents/New%20records/bird-new-distribution-records/tasks/bird_hazard_model_effort_upgrade_v2/analysis_v2/figures_future/FigM3_shap_interpretability_v2.png" id="81" name="Picture"/>
                    <pic:cNvPicPr>
                      <a:picLocks noChangeArrowheads="1" noChangeAspect="1"/>
                    </pic:cNvPicPr>
                  </pic:nvPicPr>
                  <pic:blipFill>
                    <a:blip r:embed="rId79"/>
                    <a:stretch>
                      <a:fillRect/>
                    </a:stretch>
                  </pic:blipFill>
                  <pic:spPr bwMode="auto">
                    <a:xfrm>
                      <a:off x="0" y="0"/>
                      <a:ext cx="5334000" cy="1842654"/>
                    </a:xfrm>
                    <a:prstGeom prst="rect">
                      <a:avLst/>
                    </a:prstGeom>
                    <a:noFill/>
                    <a:ln w="9525">
                      <a:noFill/>
                      <a:headEnd/>
                      <a:tailEnd/>
                    </a:ln>
                  </pic:spPr>
                </pic:pic>
              </a:graphicData>
            </a:graphic>
          </wp:inline>
        </w:drawing>
      </w:r>
    </w:p>
    <w:p>
      <w:pPr>
        <w:pStyle w:val="BodyText"/>
      </w:pPr>
      <w:r>
        <w:rPr>
          <w:b/>
          <w:bCs/>
        </w:rPr>
        <w:t xml:space="preserve">Fig. S17 | TreeSHAP interpretation of the gradient-boosted model.</w:t>
      </w:r>
      <w:r>
        <w:t xml:space="preserve"> </w:t>
      </w:r>
      <w:r>
        <w:rPr>
          <w:b/>
          <w:bCs/>
        </w:rPr>
        <w:t xml:space="preserve">a</w:t>
      </w:r>
      <w:r>
        <w:t xml:space="preserve">, Mean absolute SHAP contribution per feature.</w:t>
      </w:r>
      <w:r>
        <w:t xml:space="preserve"> </w:t>
      </w:r>
      <w:r>
        <w:rPr>
          <w:b/>
          <w:bCs/>
        </w:rPr>
        <w:t xml:space="preserve">b</w:t>
      </w:r>
      <w:r>
        <w:t xml:space="preserve">, SHAP dependence, monotone increasing for both accumulated warming and survey effort.</w:t>
      </w:r>
    </w:p>
    <w:bookmarkEnd w:id="82"/>
    <w:bookmarkEnd w:id="83"/>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png"/><Relationship Id="rId34" Type="http://schemas.openxmlformats.org/officeDocument/2006/relationships/image" Target="media/rId34.png"/><Relationship Id="rId31" Type="http://schemas.openxmlformats.org/officeDocument/2006/relationships/image" Target="media/rId31.png"/><Relationship Id="rId40" Type="http://schemas.openxmlformats.org/officeDocument/2006/relationships/image" Target="media/rId40.png"/><Relationship Id="rId37" Type="http://schemas.openxmlformats.org/officeDocument/2006/relationships/image" Target="media/rId37.png"/><Relationship Id="rId43" Type="http://schemas.openxmlformats.org/officeDocument/2006/relationships/image" Target="media/rId43.png"/><Relationship Id="rId46" Type="http://schemas.openxmlformats.org/officeDocument/2006/relationships/image" Target="media/rId46.png"/><Relationship Id="rId52" Type="http://schemas.openxmlformats.org/officeDocument/2006/relationships/image" Target="media/rId52.png"/><Relationship Id="rId55" Type="http://schemas.openxmlformats.org/officeDocument/2006/relationships/image" Target="media/rId55.png"/><Relationship Id="rId76" Type="http://schemas.openxmlformats.org/officeDocument/2006/relationships/image" Target="media/rId76.png"/><Relationship Id="rId58" Type="http://schemas.openxmlformats.org/officeDocument/2006/relationships/image" Target="media/rId58.png"/><Relationship Id="rId64" Type="http://schemas.openxmlformats.org/officeDocument/2006/relationships/image" Target="media/rId64.png"/><Relationship Id="rId79" Type="http://schemas.openxmlformats.org/officeDocument/2006/relationships/image" Target="media/rId79.png"/><Relationship Id="rId61" Type="http://schemas.openxmlformats.org/officeDocument/2006/relationships/image" Target="media/rId61.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2026-08-16T19:42:06Z</dcterms:created>
  <dcterms:modified xsi:type="dcterms:W3CDTF">2026-08-16T19:42:06Z</dcterms:modified>
</cp:coreProperties>
</file>

<file path=docProps/custom.xml><?xml version="1.0" encoding="utf-8"?>
<Properties xmlns="http://schemas.openxmlformats.org/officeDocument/2006/custom-properties" xmlns:vt="http://schemas.openxmlformats.org/officeDocument/2006/docPropsVTypes"/>
</file>