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c502b76c95cce706441f521e034f330670bfcf"/>
    <w:p>
      <w:pPr>
        <w:pStyle w:val="Heading1"/>
      </w:pPr>
      <w:r>
        <w:t xml:space="preserve">Warming and survey effort contribute comparably to new bird distribution records when dated to discovery</w:t>
      </w:r>
    </w:p>
    <w:p>
      <w:pPr>
        <w:pStyle w:val="FirstParagraph"/>
      </w:pPr>
      <w:r>
        <w:rPr>
          <w:b/>
          <w:bCs/>
        </w:rPr>
        <w:t xml:space="preserve">Running title:</w:t>
      </w:r>
      <w:r>
        <w:t xml:space="preserve"> </w:t>
      </w:r>
      <w:r>
        <w:t xml:space="preserve">Warming and effort in new bird records</w:t>
      </w:r>
    </w:p>
    <w:p>
      <w:pPr>
        <w:pStyle w:val="BodyText"/>
      </w:pPr>
      <w:r>
        <w:t xml:space="preserve">Chenchen Ding</w:t>
      </w:r>
      <w:r>
        <w:rPr>
          <w:vertAlign w:val="superscript"/>
        </w:rPr>
        <w:t xml:space="preserve">1</w:t>
      </w:r>
      <w:r>
        <w:t xml:space="preserve">, et al.</w:t>
      </w:r>
    </w:p>
    <w:p>
      <w:pPr>
        <w:pStyle w:val="BodyText"/>
      </w:pPr>
      <w:r>
        <w:rPr>
          <w:vertAlign w:val="superscript"/>
        </w:rPr>
        <w:t xml:space="preserve">1</w:t>
      </w:r>
      <w:r>
        <w:t xml:space="preserve"> </w:t>
      </w:r>
      <w:r>
        <w:t xml:space="preserve">Institute of Ecology, College of Urban and Environmental Sciences, Peking University, Beijing 100871, China</w:t>
      </w:r>
    </w:p>
    <w:p>
      <w:pPr>
        <w:pStyle w:val="BodyText"/>
      </w:pPr>
      <w:r>
        <w:t xml:space="preserve">Correspondence: Chenchen Ding (chenchen.ding@pku.edu.cn)</w:t>
      </w:r>
    </w:p>
    <w:bookmarkStart w:id="9" w:name="abstract"/>
    <w:p>
      <w:pPr>
        <w:pStyle w:val="Heading2"/>
      </w:pPr>
      <w:r>
        <w:t xml:space="preserve">Abstract</w:t>
      </w:r>
    </w:p>
    <w:p>
      <w:pPr>
        <w:pStyle w:val="FirstParagraph"/>
      </w:pPr>
      <w:r>
        <w:t xml:space="preserve">New distribution records are widely read as evidence that species’ ranges are shifting, yet a record exists only when a species is present, someone detects it and the detection is published. In mainland China, birding visits in the main checklist databases rose about 200-fold between 2002–2004 and 2022–2024, so the ecological and observational signals in these records are hard to separate. We analysed 1,029 provincial new bird records from the China Bird New Record dataset with a discrete-time hazard model of first records across 175,640 species × province × year cells (2002–2024), dating each record to its discovery and modelling the observation process explicitly. Publication lagged discovery by 2.09 years on average. Dating records to publication, the usual practice, inflated the survey-effort hazard ratio by 37% (1.79 versus 1.31) and created a spurious effect of annual climate variability, while accumulated warming was unaffected. After correction, warming of a province relative to each species’ historical range (hazard ratio 1.36 per SD, 95% CI 1.22–1.53) and survey effort (1.43, 1.27–1.61) contributed comparably and interacted negatively (0.84, 0.75–0.94). Permutation nulls that preserve the data structure centred the warming estimate on 1.161, so the species-specific component is about 1.18; the effort estimate fell to 0.979 when its timing was scrambled. A province-by-year random intercept, the largest variance component, raised conditional discrimination from 0.72 to 0.85. The return on effort fell from 2.14 in 2002 to 1.13 in 2024, whereas the return on warming showed no detectable change. The apparent eastward bias of new records relative to species’ range centroids was reproduced by geography alone; against an effort-weighted null, records lay slightly further north than expected. New records thus reflect climate and observation in similar measure, and the date attached to a record decides which appears to dominate.</w:t>
      </w:r>
    </w:p>
    <w:p>
      <w:pPr>
        <w:pStyle w:val="BodyText"/>
      </w:pPr>
      <w:r>
        <w:rPr>
          <w:b/>
          <w:bCs/>
        </w:rPr>
        <w:t xml:space="preserve">Keywords:</w:t>
      </w:r>
      <w:r>
        <w:t xml:space="preserve"> </w:t>
      </w:r>
      <w:r>
        <w:t xml:space="preserve">biodiversity monitoring; China; citizen science; climate change; discrete-time hazard model; new distribution records; observation bias; range shift; survey effort</w:t>
      </w:r>
    </w:p>
    <w:bookmarkEnd w:id="9"/>
    <w:bookmarkStart w:id="10" w:name="introduction"/>
    <w:p>
      <w:pPr>
        <w:pStyle w:val="Heading2"/>
      </w:pPr>
      <w:r>
        <w:t xml:space="preserve">Introduction</w:t>
      </w:r>
    </w:p>
    <w:p>
      <w:pPr>
        <w:pStyle w:val="FirstParagraph"/>
      </w:pPr>
      <w:r>
        <w:t xml:space="preserve">Records of species in places where they had not been documented before are among the most widely used evidence that ranges are shifting with climate. Range boundaries have moved poleward and upslope in many taxa as temperatures have risen (Parmesan &amp; Yohe, 2003; Chen et al., 2011; Lenoir &amp; Svenning, 2015), and the resulting redistribution affects ecosystems and human well-being (Pecl et al., 2017). In China, compilations of provincial new bird records have been read as evidence of northward and poleward shifts (Xing et al., 2024; Chen et al., 2025). A new record, however, is not an observation of movement. It is the last link in a chain of three events: a species occupies a place, someone detects it there, and the detection is published. Only the first link is ecological, and imperfect detection and uneven sampling can create apparent range changes where none occurred (Tingley &amp; Beissinger, 2009; Hughes et al., 2021).</w:t>
      </w:r>
    </w:p>
    <w:p>
      <w:pPr>
        <w:pStyle w:val="BodyText"/>
      </w:pPr>
      <w:r>
        <w:t xml:space="preserve">The difficulty is that observation has grown as quickly as the climate has changed. Documented distributions reflect where people look as well as where organisms live (Boakes et al., 2010; Hortal et al., 2015; Oliver et al., 2021), and many records reported as new fill gaps in knowledge, the Wallacean shortfall, without any change in range (Moura &amp; Jetz, 2021; Diniz-Filho et al., 2023). In mainland China, the annual number of birding visits logged in the eBird and China Bird Report databases rose about 200-fold between 2002–2004 and 2022–2024 (Materials and Methods), the period over which the shifts above were reported. Any series of new records from these years will correlate with the growth of observation, whatever the contribution of climate. Opportunistic records yield unbiased trends only when the recording process is modelled (Isaac et al., 2014), and gaps and biases in such data are best treated as a missing-data problem (Bowler et al., 2025), yet compilations of first records have not been analysed in this way.</w:t>
      </w:r>
    </w:p>
    <w:p>
      <w:pPr>
        <w:pStyle w:val="BodyText"/>
      </w:pPr>
      <w:r>
        <w:t xml:space="preserve">Each link in the chain leaves its own signature, and analyses of these compilations have separated none of them. The first concerns time. Compilations date each record by its year of publication, the field that sources report most consistently, but publication lags discovery. Because observation expanded year on year, a record dated to publication is credited to a year in which more people were looking than when it was made, and because recent discoveries are still unpublished, the latest years are incomplete. The size and direction of the resulting bias have not been measured. The second concerns scale. Observation grows in pulses: a survey campaign, a birding festival, a new reserve or a new reporting platform raises documentation in one province in one year. Models with random effects for species and region alone cannot represent such pulses, so their magnitude is unknown, and so is whether they distort estimates of the drivers. The third concerns the benchmark for climate. A warming effect measured relative to each species’ own range should be compared with what shared regional climate would produce if species identity carried no information, and that benchmark need not be unity. A fourth problem follows: projections of record generation under climate scenarios are rarely checked against the range of conditions to which the models were fitted (Elith et al., 2010; Mesgaran et al., 2014; Yates et al., 2018).</w:t>
      </w:r>
    </w:p>
    <w:p>
      <w:pPr>
        <w:pStyle w:val="BodyText"/>
      </w:pPr>
      <w:r>
        <w:t xml:space="preserve">We asked whether warming measurably raises the rate at which new provincial bird records are generated in China once the publication and observation steps are modelled explicitly, and how its contribution compares with that of survey effort. We used version 2 of the China Bird New Record dataset (CBNR), which gives dates of discovery as well as of publication for 1,029 provincial records (Ding et al., 2026; Ding et al., in review). Every species × province × year in which a first record could have occurred enters a risk set, and the annual hazard of a first record is modelled with a complementary log-log link, the discrete-time form of a proportional-hazards model (Allison, 1982; Singer &amp; Willett, 1993). Records are dated to discovery, with an offset for the incompleteness of recent years. Survey effort enters as a covariate and province-year pulses as a random intercept, and warming is expressed relative to each species’ historical Chinese range and evaluated against permutation nulls that preserve the structure of the data. A decomposition that changes one analytical choice at a time shows what each correction does. None of these steps is specific to birds or to China; each applies to any dated compilation of first records.</w:t>
      </w:r>
    </w:p>
    <w:p>
      <w:pPr>
        <w:pStyle w:val="BodyText"/>
      </w:pPr>
      <w:r>
        <w:t xml:space="preserve">We tested four predictions, specified before the robustness analyses were run. (H1) Dating records to publication inflates the effort coefficient and creates a spurious effect of year-to-year climate variability but leaves accumulated warming unchanged, because a lag of one or two years moves a record into a year with more observers and different weather while barely altering a 15-year mean. (H2) Province-year pulses are the largest source of unexplained variation in the hazard, yet absorbing them leaves the discrimination achieved by the fixed effects unchanged, because the pulses are short-lived and unrelated to long-term trends. (H3) Warming and effort interact negatively. A species can be recorded for the first time in a province only once, so where effort has long been high, many of the species that warming favours will already have been recorded, and the pairs still at risk respond less. (H4) For the same reason, the return on effort declines through time as the stock of detectable but undocumented occurrences is drawn down, whereas the return on warming, which keeps adding candidates as climates shift, does not.</w:t>
      </w:r>
    </w:p>
    <w:bookmarkEnd w:id="10"/>
    <w:bookmarkStart w:id="23" w:name="materials-and-methods"/>
    <w:p>
      <w:pPr>
        <w:pStyle w:val="Heading2"/>
      </w:pPr>
      <w:r>
        <w:t xml:space="preserve">Materials and Methods</w:t>
      </w:r>
    </w:p>
    <w:bookmarkStart w:id="11" w:name="event-data-and-dating"/>
    <w:p>
      <w:pPr>
        <w:pStyle w:val="Heading3"/>
      </w:pPr>
      <w:r>
        <w:t xml:space="preserve">Event data and dating</w:t>
      </w:r>
    </w:p>
    <w:p>
      <w:pPr>
        <w:pStyle w:val="FirstParagraph"/>
      </w:pPr>
      <w:r>
        <w:t xml:space="preserve">New provincial-level bird distribution records for China were taken from version 2 of the China Bird New Record dataset (CBNR; 1,029 records covering 2000–2025; Ding et al., 2026), compiled from peer-reviewed publications with a large-language-model-assisted extraction pipeline followed by manual validation of every record (Ding et al., in review). Each record carries a discovery date and a source publication year. We parsed a four-digit year from the discovery date field, obtaining a usable year for 1,028 of 1,029 records. Nine further records reported a discovery year later than the publication year, which is internally inconsistent; for these ten records in total we substituted publication year minus the median lag of one year, and flagged the substitution in the released data.</w:t>
      </w:r>
    </w:p>
    <w:p>
      <w:pPr>
        <w:pStyle w:val="BodyText"/>
      </w:pPr>
      <w:r>
        <w:t xml:space="preserve">Species names were harmonised by trying, in order, the Catalogue of Life China 2026, BirdLife International v10 and Clements v2025 names supplied with the compilation, retaining the first that matched the candidate pool; provincial names were harmonised by mapping Xizang to Tibet. Taiwan, Hong Kong and Macao were excluded because the survey-effort compilation does not cover them.</w:t>
      </w:r>
    </w:p>
    <w:p>
      <w:pPr>
        <w:pStyle w:val="BodyText"/>
      </w:pPr>
      <w:r>
        <w:t xml:space="preserve">For each species × province pair we retained the earliest event year; later reports of the same pair were treated as re-documentation. Pairs whose earliest record predates 2002 describe species already present at the start of the analysis window and were removed from the risk set as prevalent rather than incident cases. Every remaining event was forced into the risk set irrespective of its species-distribution-model status.</w:t>
      </w:r>
    </w:p>
    <w:bookmarkEnd w:id="11"/>
    <w:bookmarkStart w:id="12" w:name="reporting-completeness"/>
    <w:p>
      <w:pPr>
        <w:pStyle w:val="Heading3"/>
      </w:pPr>
      <w:r>
        <w:t xml:space="preserve">Reporting completeness</w:t>
      </w:r>
    </w:p>
    <w:p>
      <w:pPr>
        <w:pStyle w:val="FirstParagraph"/>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Lag stationarity across discovery years was verified by Spearman correlation, a Wilcoxon comparison of the two halves of the well-reported period (2002–2018), and direct comparison of the cumulative distributions.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12"/>
    <w:bookmarkStart w:id="13" w:name="risk-set"/>
    <w:p>
      <w:pPr>
        <w:pStyle w:val="Heading3"/>
      </w:pPr>
      <w:r>
        <w:t xml:space="preserve">Risk set</w:t>
      </w:r>
    </w:p>
    <w:p>
      <w:pPr>
        <w:pStyle w:val="FirstParagraph"/>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13"/>
    <w:bookmarkStart w:id="14" w:name="climate-variables"/>
    <w:p>
      <w:pPr>
        <w:pStyle w:val="Heading3"/>
      </w:pPr>
      <w:r>
        <w:t xml:space="preserve">Climate variables</w:t>
      </w:r>
    </w:p>
    <w:p>
      <w:pPr>
        <w:pStyle w:val="FirstParagraph"/>
      </w:pPr>
      <w:r>
        <w:t xml:space="preserve">Monthly temperature surfaces at 10 arc-minutes for 1980–2024 were taken from the WorldClim 2.1 downscaling of CRU TS 4.09 (Harris et al., 2020; Fick &amp; Hijmans, 2017). We computed four indicators: annual mean temperature, winter mean temperature, warmest-month maximum temperature and coldest-month minimum temperature. Provincial series</w:t>
      </w:r>
      <w:r>
        <w:t xml:space="preserve"> </w:t>
      </w:r>
      <w:r>
        <w:rPr>
          <w:i/>
          <w:iCs/>
        </w:rPr>
        <w:t xml:space="preserve">T</w:t>
      </w:r>
      <w:r>
        <w:t xml:space="preserve">(</w:t>
      </w:r>
      <w:r>
        <w:rPr>
          <w:i/>
          <w:iCs/>
        </w:rPr>
        <w:t xml:space="preserve">p</w:t>
      </w:r>
      <w:r>
        <w:t xml:space="preserve">,</w:t>
      </w:r>
      <w:r>
        <w:rPr>
          <w:i/>
          <w:iCs/>
        </w:rPr>
        <w:t xml:space="preserve">t</w:t>
      </w:r>
      <w:r>
        <w:t xml:space="preserve">) are area-weighted means over the 100 km analysis grid, weighted by the area of overlap between each grid cell and the province; species-range series</w:t>
      </w:r>
      <w:r>
        <w:t xml:space="preserve"> </w:t>
      </w:r>
      <w:r>
        <w:rPr>
          <w:i/>
          <w:iCs/>
        </w:rPr>
        <w:t xml:space="preserve">N</w:t>
      </w:r>
      <w:r>
        <w:t xml:space="preserve">(</w:t>
      </w:r>
      <w:r>
        <w:rPr>
          <w:i/>
          <w:iCs/>
        </w:rPr>
        <w:t xml:space="preserve">s</w:t>
      </w:r>
      <w:r>
        <w:t xml:space="preserve">,</w:t>
      </w:r>
      <w:r>
        <w:rPr>
          <w:i/>
          <w:iCs/>
        </w:rPr>
        <w:t xml:space="preserve">t</w:t>
      </w:r>
      <w:r>
        <w:t xml:space="preserve">) are means over the species’ Chinese range polygon (BirdLife International &amp; Handbook of the Birds of the World, 2024). Baselines</w:t>
      </w:r>
      <w:r>
        <w:t xml:space="preserve"> </w:t>
      </w:r>
      <w:r>
        <w:rPr>
          <w:i/>
          <w:iCs/>
        </w:rPr>
        <w:t xml:space="preserve">T</w:t>
      </w:r>
      <w:r>
        <w:t xml:space="preserve">base and</w:t>
      </w:r>
      <w:r>
        <w:t xml:space="preserve"> </w:t>
      </w:r>
      <w:r>
        <w:rPr>
          <w:i/>
          <w:iCs/>
        </w:rPr>
        <w:t xml:space="preserve">N</w:t>
      </w:r>
      <w:r>
        <w:t xml:space="preserve">base are 1980–2000 means at both ends.</w:t>
      </w:r>
    </w:p>
    <w:p>
      <w:pPr>
        <w:pStyle w:val="BodyText"/>
      </w:pPr>
      <w:r>
        <w:t xml:space="preserve">The species-referenced climate gradient is</w:t>
      </w:r>
    </w:p>
    <w:p>
      <w:pPr>
        <w:pStyle w:val="BodyText"/>
      </w:pP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w:t>
      </w:r>
      <w:r>
        <w:rPr>
          <w:i/>
          <w:iCs/>
        </w:rPr>
        <w:t xml:space="preserve">T</w:t>
      </w:r>
      <w:r>
        <w:t xml:space="preserve">(</w:t>
      </w:r>
      <w:r>
        <w:rPr>
          <w:i/>
          <w:iCs/>
        </w:rPr>
        <w:t xml:space="preserve">p</w:t>
      </w:r>
      <w:r>
        <w:t xml:space="preserve">,</w:t>
      </w:r>
      <w:r>
        <w:rPr>
          <w:i/>
          <w:iCs/>
        </w:rPr>
        <w:t xml:space="preserve">t</w:t>
      </w:r>
      <w:r>
        <w:t xml:space="preserve">) −</w:t>
      </w:r>
      <w:r>
        <w:t xml:space="preserve"> </w:t>
      </w:r>
      <w:r>
        <w:rPr>
          <w:i/>
          <w:iCs/>
        </w:rPr>
        <w:t xml:space="preserve">T</w:t>
      </w:r>
      <w:r>
        <w:t xml:space="preserve">base(</w:t>
      </w:r>
      <w:r>
        <w:rPr>
          <w:i/>
          <w:iCs/>
        </w:rPr>
        <w:t xml:space="preserve">p</w:t>
      </w:r>
      <w:r>
        <w:t xml:space="preserve">)] − [</w:t>
      </w:r>
      <w:r>
        <w:rPr>
          <w:i/>
          <w:iCs/>
        </w:rPr>
        <w:t xml:space="preserve">N</w:t>
      </w:r>
      <w:r>
        <w:t xml:space="preserve">(</w:t>
      </w:r>
      <w:r>
        <w:rPr>
          <w:i/>
          <w:iCs/>
        </w:rPr>
        <w:t xml:space="preserve">s</w:t>
      </w:r>
      <w:r>
        <w:t xml:space="preserve">,</w:t>
      </w:r>
      <w:r>
        <w:rPr>
          <w:i/>
          <w:iCs/>
        </w:rPr>
        <w:t xml:space="preserve">t</w:t>
      </w:r>
      <w:r>
        <w:t xml:space="preserve">) −</w:t>
      </w:r>
      <w:r>
        <w:t xml:space="preserve"> </w:t>
      </w:r>
      <w:r>
        <w:rPr>
          <w:i/>
          <w:iCs/>
        </w:rPr>
        <w:t xml:space="preserve">N</w:t>
      </w:r>
      <w:r>
        <w:t xml:space="preserve">base(</w:t>
      </w:r>
      <w:r>
        <w:rPr>
          <w:i/>
          <w:iCs/>
        </w:rPr>
        <w:t xml:space="preserve">s</w:t>
      </w:r>
      <w:r>
        <w:t xml:space="preserve">)],</w:t>
      </w:r>
    </w:p>
    <w:p>
      <w:pPr>
        <w:pStyle w:val="BodyText"/>
      </w:pPr>
      <w:r>
        <w:t xml:space="preserve">that is, how much more the target province has warmed than the species’ own historical range. This is decomposed, strictly backward-looking, into an accumulated component and a residual:</w:t>
      </w:r>
    </w:p>
    <w:p>
      <w:pPr>
        <w:pStyle w:val="BodyText"/>
      </w:pPr>
      <w:r>
        <w:t xml:space="preserve">clim_change(</w:t>
      </w:r>
      <w:r>
        <w:rPr>
          <w:i/>
          <w:iCs/>
        </w:rPr>
        <w:t xml:space="preserve">s</w:t>
      </w:r>
      <w:r>
        <w:t xml:space="preserve">,</w:t>
      </w:r>
      <w:r>
        <w:rPr>
          <w:i/>
          <w:iCs/>
        </w:rPr>
        <w:t xml:space="preserve">p</w:t>
      </w:r>
      <w:r>
        <w:t xml:space="preserve">,</w:t>
      </w:r>
      <w:r>
        <w:rPr>
          <w:i/>
          <w:iCs/>
        </w:rPr>
        <w:t xml:space="preserve">t</w:t>
      </w:r>
      <w:r>
        <w:t xml:space="preserve">) = mean of</w:t>
      </w:r>
      <w:r>
        <w:t xml:space="preserve"> </w:t>
      </w:r>
      <w:r>
        <w:rPr>
          <w:i/>
          <w:iCs/>
        </w:rPr>
        <w:t xml:space="preserve">x</w:t>
      </w:r>
      <w:r>
        <w:t xml:space="preserve"> </w:t>
      </w:r>
      <w:r>
        <w:t xml:space="preserve">over [</w:t>
      </w:r>
      <w:r>
        <w:rPr>
          <w:i/>
          <w:iCs/>
        </w:rPr>
        <w:t xml:space="preserve">t</w:t>
      </w:r>
      <w:r>
        <w:t xml:space="preserve"> </w:t>
      </w:r>
      <w:r>
        <w:t xml:space="preserve">−</w:t>
      </w:r>
      <w:r>
        <w:t xml:space="preserve"> </w:t>
      </w:r>
      <w:r>
        <w:rPr>
          <w:i/>
          <w:iCs/>
        </w:rPr>
        <w:t xml:space="preserve">W</w:t>
      </w:r>
      <w:r>
        <w:t xml:space="preserve"> </w:t>
      </w:r>
      <w:r>
        <w:t xml:space="preserve">+ 1,</w:t>
      </w:r>
      <w:r>
        <w:t xml:space="preserve"> </w:t>
      </w:r>
      <w:r>
        <w:rPr>
          <w:i/>
          <w:iCs/>
        </w:rPr>
        <w:t xml:space="preserve">t</w:t>
      </w:r>
      <w:r>
        <w:t xml:space="preserve">],</w:t>
      </w:r>
      <w:r>
        <w:t xml:space="preserve"> </w:t>
      </w:r>
      <w:r>
        <w:t xml:space="preserve">clim_var(</w:t>
      </w:r>
      <w:r>
        <w:rPr>
          <w:i/>
          <w:iCs/>
        </w:rPr>
        <w:t xml:space="preserve">s</w:t>
      </w:r>
      <w:r>
        <w:t xml:space="preserve">,</w:t>
      </w:r>
      <w:r>
        <w:rPr>
          <w:i/>
          <w:iCs/>
        </w:rPr>
        <w:t xml:space="preserve">p</w:t>
      </w:r>
      <w:r>
        <w:t xml:space="preserve">,</w:t>
      </w:r>
      <w:r>
        <w:rPr>
          <w:i/>
          <w:iCs/>
        </w:rPr>
        <w:t xml:space="preserve">t</w:t>
      </w:r>
      <w:r>
        <w:t xml:space="preserve">) =</w:t>
      </w:r>
      <w:r>
        <w:t xml:space="preserve"> </w:t>
      </w: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clim_change(</w:t>
      </w:r>
      <w:r>
        <w:rPr>
          <w:i/>
          <w:iCs/>
        </w:rPr>
        <w:t xml:space="preserve">s</w:t>
      </w:r>
      <w:r>
        <w:t xml:space="preserve">,</w:t>
      </w:r>
      <w:r>
        <w:rPr>
          <w:i/>
          <w:iCs/>
        </w:rPr>
        <w:t xml:space="preserve">p</w:t>
      </w:r>
      <w:r>
        <w:t xml:space="preserve">,</w:t>
      </w:r>
      <w:r>
        <w:rPr>
          <w:i/>
          <w:iCs/>
        </w:rPr>
        <w:t xml:space="preserve">t</w:t>
      </w:r>
      <w:r>
        <w:t xml:space="preserve">),</w:t>
      </w:r>
    </w:p>
    <w:p>
      <w:pPr>
        <w:pStyle w:val="BodyText"/>
      </w:pPr>
      <w:r>
        <w:t xml:space="preserve">with</w:t>
      </w:r>
      <w:r>
        <w:t xml:space="preserve"> </w:t>
      </w:r>
      <w:r>
        <w:rPr>
          <w:i/>
          <w:iCs/>
        </w:rPr>
        <w:t xml:space="preserve">W</w:t>
      </w:r>
      <w:r>
        <w:t xml:space="preserve"> </w:t>
      </w:r>
      <w:r>
        <w:t xml:space="preserve">∈ {5, 10, 15, 20} years. Because the surfaces extend back to 1980, no analysis-period rows are lost to the trailing window at any</w:t>
      </w:r>
      <w:r>
        <w:t xml:space="preserve"> </w:t>
      </w:r>
      <w:r>
        <w:rPr>
          <w:i/>
          <w:iCs/>
        </w:rPr>
        <w:t xml:space="preserve">W</w:t>
      </w:r>
      <w:r>
        <w:t xml:space="preserve">. The main specification uses annual mean temperature with</w:t>
      </w:r>
      <w:r>
        <w:t xml:space="preserve"> </w:t>
      </w:r>
      <w:r>
        <w:rPr>
          <w:i/>
          <w:iCs/>
        </w:rPr>
        <w:t xml:space="preserve">W</w:t>
      </w:r>
      <w:r>
        <w:t xml:space="preserve"> </w:t>
      </w:r>
      <w:r>
        <w:t xml:space="preserve">= 15.</w:t>
      </w:r>
    </w:p>
    <w:bookmarkEnd w:id="14"/>
    <w:bookmarkStart w:id="15" w:name="survey-effort"/>
    <w:p>
      <w:pPr>
        <w:pStyle w:val="Heading3"/>
      </w:pPr>
      <w:r>
        <w:t xml:space="preserve">Survey effort</w:t>
      </w:r>
    </w:p>
    <w:p>
      <w:pPr>
        <w:pStyle w:val="FirstParagraph"/>
      </w:pPr>
      <w:r>
        <w:t xml:space="preserve">Provincial annual survey effort was compiled from deduplicated eBird/GBIF occurrence records and China Bird Report checklists (http://www.birdreport.cn) through four proxies: visits, distinct observers, birding days and records. eBird checklists for 2024, absent from the original download, were added with the same visit definition (GBIF.org, 2026); Guangdong 2024, with China Bird Report records for only 14 days, was treated as missing. Thirty-nine province-years (Hong Kong, Macao and Taiwan) have no coverage. A further 24 mainland province-years were recorded as exactly zero. We treat these as coverage gaps rather than true zeros: in 22 of 24, the adjacent years in the same province record between one and 27 visits. In the main analysis these cells are missing; sensitivity analyses zero-fill them (the previously published treatment) and impute them by within-province linear interpolation on the log scale, which is bounded by the neighbouring observed values. Each proxy is log1p-transformed and standardised within the analysis scope separately for each missing-data rule. Summed over mainland provinces, annual visits rose from a mean of 493 in 2002–2004 to 99,156 in 2022–2024.</w:t>
      </w:r>
    </w:p>
    <w:bookmarkEnd w:id="15"/>
    <w:bookmarkStart w:id="16" w:name="model"/>
    <w:p>
      <w:pPr>
        <w:pStyle w:val="Heading3"/>
      </w:pPr>
      <w:r>
        <w:t xml:space="preserve">Model</w:t>
      </w:r>
    </w:p>
    <w:p>
      <w:pPr>
        <w:pStyle w:val="FirstParagraph"/>
      </w:pPr>
      <w:r>
        <w:t xml:space="preserve">We model the annual hazard that species</w:t>
      </w:r>
      <w:r>
        <w:t xml:space="preserve"> </w:t>
      </w:r>
      <w:r>
        <w:rPr>
          <w:i/>
          <w:iCs/>
        </w:rPr>
        <w:t xml:space="preserve">s</w:t>
      </w:r>
      <w:r>
        <w:t xml:space="preserve"> </w:t>
      </w:r>
      <w:r>
        <w:t xml:space="preserve">is first recorded in province</w:t>
      </w:r>
      <w:r>
        <w:t xml:space="preserve"> </w:t>
      </w:r>
      <w:r>
        <w:rPr>
          <w:i/>
          <w:iCs/>
        </w:rPr>
        <w:t xml:space="preserve">p</w:t>
      </w:r>
      <w:r>
        <w:t xml:space="preserve"> </w:t>
      </w:r>
      <w:r>
        <w:t xml:space="preserve">in year</w:t>
      </w:r>
      <w:r>
        <w:t xml:space="preserve"> </w:t>
      </w:r>
      <w:r>
        <w:rPr>
          <w:i/>
          <w:iCs/>
        </w:rPr>
        <w:t xml:space="preserve">t</w:t>
      </w:r>
      <w:r>
        <w:t xml:space="preserve"> </w:t>
      </w:r>
      <w:r>
        <w:t xml:space="preserve">as a discrete-time proportional-hazards model with a complementary log-log link (Allison, 1982; Singer &amp; Willett, 1993; Brooks et al., 2017):</w:t>
      </w:r>
    </w:p>
    <w:p>
      <w:pPr>
        <w:pStyle w:val="BodyText"/>
      </w:pPr>
      <w:r>
        <w:t xml:space="preserve">log(−log(1 −</w:t>
      </w:r>
      <w:r>
        <w:t xml:space="preserve"> </w:t>
      </w:r>
      <w:r>
        <w:rPr>
          <w:i/>
          <w:iCs/>
        </w:rPr>
        <w:t xml:space="preserve">h</w:t>
      </w:r>
      <w:r>
        <w:t xml:space="preserve">(</w:t>
      </w:r>
      <w:r>
        <w:rPr>
          <w:i/>
          <w:iCs/>
        </w:rPr>
        <w:t xml:space="preserve">s</w:t>
      </w:r>
      <w:r>
        <w:t xml:space="preserve">,</w:t>
      </w:r>
      <w:r>
        <w:rPr>
          <w:i/>
          <w:iCs/>
        </w:rPr>
        <w:t xml:space="preserve">p</w:t>
      </w:r>
      <w:r>
        <w:t xml:space="preserve">,</w:t>
      </w:r>
      <w:r>
        <w:rPr>
          <w:i/>
          <w:iCs/>
        </w:rPr>
        <w:t xml:space="preserve">t</w:t>
      </w:r>
      <w:r>
        <w:t xml:space="preserve">))) = β₀ + β₁·clim_change_z + β₂·effort_z + β₃·(clim_change_z × effort_z) + β₄·clim_var_z + log</w:t>
      </w:r>
      <w:r>
        <w:t xml:space="preserve"> </w:t>
      </w:r>
      <w:r>
        <w:rPr>
          <w:i/>
          <w:iCs/>
        </w:rPr>
        <w:t xml:space="preserve">c</w:t>
      </w:r>
      <w:r>
        <w:t xml:space="preserve">(</w:t>
      </w:r>
      <w:r>
        <w:rPr>
          <w:i/>
          <w:iCs/>
        </w:rPr>
        <w:t xml:space="preserve">t</w:t>
      </w:r>
      <w:r>
        <w:t xml:space="preserve">) +</w:t>
      </w:r>
      <w:r>
        <w:t xml:space="preserve"> </w:t>
      </w:r>
      <w:r>
        <w:rPr>
          <w:i/>
          <w:iCs/>
        </w:rPr>
        <w:t xml:space="preserve">u</w:t>
      </w:r>
      <w:r>
        <w:t xml:space="preserve">ₛ +</w:t>
      </w:r>
      <w:r>
        <w:t xml:space="preserve"> </w:t>
      </w:r>
      <w:r>
        <w:rPr>
          <w:i/>
          <w:iCs/>
        </w:rPr>
        <w:t xml:space="preserve">v</w:t>
      </w:r>
      <w:r>
        <w:t xml:space="preserve">ₚ +</w:t>
      </w:r>
      <w:r>
        <w:t xml:space="preserve"> </w:t>
      </w:r>
      <w:r>
        <w:rPr>
          <w:i/>
          <w:iCs/>
        </w:rPr>
        <w:t xml:space="preserve">w</w:t>
      </w:r>
      <w:r>
        <w:t xml:space="preserve">ₚₜ,</w:t>
      </w:r>
    </w:p>
    <w:p>
      <w:pPr>
        <w:pStyle w:val="BodyText"/>
      </w:pPr>
      <w:r>
        <w:t xml:space="preserve">with</w:t>
      </w:r>
      <w:r>
        <w:t xml:space="preserve"> </w:t>
      </w:r>
      <w:r>
        <w:rPr>
          <w:i/>
          <w:iCs/>
        </w:rPr>
        <w:t xml:space="preserve">u</w:t>
      </w:r>
      <w:r>
        <w:t xml:space="preserve">ₛ ~ N(0, σ²species),</w:t>
      </w:r>
      <w:r>
        <w:t xml:space="preserve"> </w:t>
      </w:r>
      <w:r>
        <w:rPr>
          <w:i/>
          <w:iCs/>
        </w:rPr>
        <w:t xml:space="preserve">v</w:t>
      </w:r>
      <w:r>
        <w:t xml:space="preserve">ₚ ~ N(0, σ²province) and</w:t>
      </w:r>
      <w:r>
        <w:t xml:space="preserve"> </w:t>
      </w:r>
      <w:r>
        <w:rPr>
          <w:i/>
          <w:iCs/>
        </w:rPr>
        <w:t xml:space="preserve">w</w:t>
      </w:r>
      <w:r>
        <w:t xml:space="preserve">ₚₜ ~ N(0, σ²province×year). All predictors are standardised on the analysis sample, so coefficients are hazard ratios per standard deviation. Models were fitted with glmmTMB 1.1 (Brooks et al., 2017).</w:t>
      </w:r>
    </w:p>
    <w:p>
      <w:pPr>
        <w:pStyle w:val="BodyText"/>
      </w:pPr>
      <w:r>
        <w:t xml:space="preserve">Six random-effect structures were compared on four criteria: AIC and BIC; explanatory power (McFadden pseudo-</w:t>
      </w:r>
      <w:r>
        <w:rPr>
          <w:i/>
          <w:iCs/>
        </w:rPr>
        <w:t xml:space="preserve">R</w:t>
      </w:r>
      <w:r>
        <w:t xml:space="preserve">², Nakagawa marginal and conditional</w:t>
      </w:r>
      <w:r>
        <w:t xml:space="preserve"> </w:t>
      </w:r>
      <w:r>
        <w:rPr>
          <w:i/>
          <w:iCs/>
        </w:rPr>
        <w:t xml:space="preserve">R</w:t>
      </w:r>
      <w:r>
        <w:t xml:space="preserve">² (Nakagawa &amp; Schielzeth, 2013), and marginal and conditional AUC); variance-component identifiability; and the ecological interpretability of each term. The structure reported above was frozen before the robustness analyses were run.</w:t>
      </w:r>
    </w:p>
    <w:bookmarkEnd w:id="16"/>
    <w:bookmarkStart w:id="17" w:name="resampling-and-null-models"/>
    <w:p>
      <w:pPr>
        <w:pStyle w:val="Heading3"/>
      </w:pPr>
      <w:r>
        <w:t xml:space="preserve">Resampling and null models</w:t>
      </w:r>
    </w:p>
    <w:p>
      <w:pPr>
        <w:pStyle w:val="FirstParagraph"/>
      </w:pPr>
      <w:r>
        <w:t xml:space="preserve">Three design-preserving permutation nulls each break exactly one association: N1 shuffles warming among species within a province-year; N2 shuffles effort across years within a province; N3 shuffles the event indicator among species at risk within a province-year. Each leaves risk-set size, per-province-year event counts, the marginals of effort and completeness, and the random-effect hierarchy identical to the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changes coefficients by less than 10⁻³.</w:t>
      </w:r>
    </w:p>
    <w:bookmarkEnd w:id="17"/>
    <w:bookmarkStart w:id="18" w:name="diagnostics"/>
    <w:p>
      <w:pPr>
        <w:pStyle w:val="Heading3"/>
      </w:pPr>
      <w:r>
        <w:t xml:space="preserve">Diagnostics</w:t>
      </w:r>
    </w:p>
    <w:p>
      <w:pPr>
        <w:pStyle w:val="FirstParagraph"/>
      </w:pPr>
      <w:r>
        <w:t xml:space="preserve">Residual diagnostics used simulation-based scaled residuals with 500 simulations (Hartig, 2024): uniformity, dispersion, outliers, zero inflation, and grouped uniformity by year and by province. Spatial autocorrelation was assessed as Moran’s</w:t>
      </w:r>
      <w:r>
        <w:t xml:space="preserve"> </w:t>
      </w:r>
      <w:r>
        <w:rPr>
          <w:i/>
          <w:iCs/>
        </w:rPr>
        <w:t xml:space="preserve">I</w:t>
      </w:r>
      <w:r>
        <w:t xml:space="preserve"> </w:t>
      </w:r>
      <w:r>
        <w:t xml:space="preserve">on province-mean residuals with inverse-distance weights and a 999-permutation null. Proportional hazards were tested by adding interactions between each focal term and standardised year.</w:t>
      </w:r>
    </w:p>
    <w:bookmarkEnd w:id="18"/>
    <w:bookmarkStart w:id="19" w:name="projections"/>
    <w:p>
      <w:pPr>
        <w:pStyle w:val="Heading3"/>
      </w:pPr>
      <w:r>
        <w:t xml:space="preserve">Projections</w:t>
      </w:r>
    </w:p>
    <w:p>
      <w:pPr>
        <w:pStyle w:val="FirstParagraph"/>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For projection, Guangdong’s 2024 effort was carried forward from 2023.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1.22); horizons 2030 and 2050. Province-by-year effects for future years were set to their expectation, species and province effects retained, and provincial expectations summed over species. Future county surfaces hold the 2024 allocation shares fixed.</w:t>
      </w:r>
    </w:p>
    <w:bookmarkEnd w:id="19"/>
    <w:bookmarkStart w:id="20" w:name="model-family-comparison"/>
    <w:p>
      <w:pPr>
        <w:pStyle w:val="Heading3"/>
      </w:pPr>
      <w:r>
        <w:t xml:space="preserve">Model-family comparison</w:t>
      </w:r>
    </w:p>
    <w:p>
      <w:pPr>
        <w:pStyle w:val="FirstParagraph"/>
      </w:pPr>
      <w:r>
        <w:t xml:space="preserve">The projection comparison used a gradient-boosted model (XGBoost, 400 rounds, learning rate 0.05, depth 4) (Chen &amp; Guestrin, 2016) on the same three predictors, with exact TreeSHAP attributions (Lundberg et al., 2020).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20"/>
    <w:bookmarkStart w:id="21" w:name="protected-areas"/>
    <w:p>
      <w:pPr>
        <w:pStyle w:val="Heading3"/>
      </w:pPr>
      <w:r>
        <w:t xml:space="preserve">Protected areas</w:t>
      </w:r>
    </w:p>
    <w:p>
      <w:pPr>
        <w:pStyle w:val="FirstParagraph"/>
      </w:pPr>
      <w:r>
        <w:t xml:space="preserve">Protected-area analyses (Supporting Information Note S6) used the 1,028 mapped nature reserves in China (China Nature Reserve Specimen Resource Sharing Platform, 2024).</w:t>
      </w:r>
    </w:p>
    <w:bookmarkEnd w:id="21"/>
    <w:bookmarkStart w:id="22" w:name="direction-of-new-records"/>
    <w:p>
      <w:pPr>
        <w:pStyle w:val="Heading3"/>
      </w:pPr>
      <w:r>
        <w:t xml:space="preserve">Direction of new records</w:t>
      </w:r>
    </w:p>
    <w:p>
      <w:pPr>
        <w:pStyle w:val="FirstParagraph"/>
      </w:pPr>
      <w:r>
        <w:t xml:space="preserve">Bearings from the centroid of each species’ global range (AVONET; Tobias et al., 2022) to each record, computed as the planar angle of the longitude and latitude differences, were binned into eight 45° sectors. Because a uniform expectation ignores where China lies relative to these centroids, observed sector counts were compared with two Monte Carlo nulls (999 draws) that reassign every record to one of its species’ candidate provinces, located at the mean position of that province’s new records, with equal probability (geometry) or with probability proportional to the province’s 2002–2024 survey visits (geometry + effort). Sector-wise two-sided</w:t>
      </w:r>
      <w:r>
        <w:t xml:space="preserve"> </w:t>
      </w:r>
      <w:r>
        <w:rPr>
          <w:i/>
          <w:iCs/>
        </w:rPr>
        <w:t xml:space="preserve">P</w:t>
      </w:r>
      <w:r>
        <w:t xml:space="preserve"> </w:t>
      </w:r>
      <w:r>
        <w:t xml:space="preserve">values were Holm-corrected, and an omnibus χ² against the null expectation was referred to its Monte Carlo distribution. A sensitivity analysis placed each province at a point on its surface.</w:t>
      </w:r>
    </w:p>
    <w:bookmarkEnd w:id="22"/>
    <w:bookmarkEnd w:id="23"/>
    <w:bookmarkStart w:id="37" w:name="results"/>
    <w:p>
      <w:pPr>
        <w:pStyle w:val="Heading2"/>
      </w:pPr>
      <w:r>
        <w:t xml:space="preserve">Results</w:t>
      </w:r>
    </w:p>
    <w:bookmarkStart w:id="24" w:name="the-risk-set-and-the-dating-problem"/>
    <w:p>
      <w:pPr>
        <w:pStyle w:val="Heading3"/>
      </w:pPr>
      <w:r>
        <w:t xml:space="preserve">The risk set and the dating problem</w:t>
      </w:r>
    </w:p>
    <w:p>
      <w:pPr>
        <w:pStyle w:val="FirstParagraph"/>
      </w:pPr>
      <w:r>
        <w:t xml:space="preserve">Of the 1,029 records, 1,028 (99.9%) carry a parseable discovery date and 684 match a species × province cell in the candidate pool; 657 fall within the 2002–2024 window (Supplementary Table S7; Supplementary Fig. S16). Twenty-six records predate 2002 and describe species already present at its start, so they were removed from the risk set as prevalent cases, whereas eleven pairs published in 2025 but discovered by 2024 enter it only under discovery-year dating.</w:t>
      </w:r>
    </w:p>
    <w:p>
      <w:pPr>
        <w:pStyle w:val="BodyText"/>
      </w:pPr>
      <w:r>
        <w:t xml:space="preserve">Publication lags discovery by a median of one year and a mean of 2.09; 81.7% of records lag by at least one year and 26.8% by three or more (Figure 2a). Re-dating moves 526 of 633 comparable events (83.1%), by a median of one year. The two conventions give qualitatively different series (Figure 2b): the publication-year series rises monotonically to 67 events in 2024, whereas the discovery-year series peaks at 59 in 2019 and falls to 14. Neither can be used as it stands. The first aggregates delayed reports, and the second is right-censored because many records from 2023–2024 are not yet in print.</w:t>
      </w:r>
    </w:p>
    <w:p>
      <w:pPr>
        <w:pStyle w:val="BodyText"/>
      </w:pPr>
      <w:r>
        <w:t xml:space="preserve">The censoring can be quantified directly. The compilation extends to publications of 2025, and the pooled lag distribution, which is stationary across discovery years, implies that the share of discoveries already reported falls from 99.7% for 2002 to 89.5% for 2021, 83.4% for 2022, 73.2% for 2023 and 56.7% for 2024. This completeness enters every model as an offset (Materials and Methods; Supplementary Note S1).</w:t>
      </w:r>
    </w:p>
    <w:p>
      <w:pPr>
        <w:pStyle w:val="BodyText"/>
      </w:pPr>
      <w:r>
        <w:t xml:space="preserve">After requiring non-missing effort and climate components, the risk set at the 50-cell threshold (8,319 species × province pairs, 185,478 rows and 657 events) yields modelling data of 175,640 rows, 649 events, 392 species and 31 provincial units.</w:t>
      </w:r>
    </w:p>
    <w:bookmarkEnd w:id="24"/>
    <w:bookmarkStart w:id="25" w:name="Xc77949901b9107389467c4ba24830ea78b75cee"/>
    <w:p>
      <w:pPr>
        <w:pStyle w:val="Heading3"/>
      </w:pPr>
      <w:r>
        <w:t xml:space="preserve">Publication-year dating inflates the apparent role of survey effort</w:t>
      </w:r>
    </w:p>
    <w:p>
      <w:pPr>
        <w:pStyle w:val="FirstParagraph"/>
      </w:pPr>
      <w:r>
        <w:t xml:space="preserve">We decomposed the difference between the previously published specification and the corrected one into five steps (each changing one analytical choice; step S3 also recovers 215 rows and 11 events whose unweighted provincial climate series were missing, so S0–S2 and S3–S5 differ slightly in sample) (Figure 2c; Table 1).</w:t>
      </w:r>
    </w:p>
    <w:p>
      <w:pPr>
        <w:pStyle w:val="BodyText"/>
      </w:pPr>
      <w:r>
        <w:t xml:space="preserve">Re-dating alone moves the survey-effort hazard ratio from 1.788 to 1.309, so that the publication-year estimate is 37% larger than the corrected one, and moves the annual-variability hazard ratio from 0.850 (</w:t>
      </w:r>
      <w:r>
        <w:rPr>
          <w:i/>
          <w:iCs/>
        </w:rPr>
        <w:t xml:space="preserve">P</w:t>
      </w:r>
      <w:r>
        <w:t xml:space="preserve"> </w:t>
      </w:r>
      <w:r>
        <w:t xml:space="preserve">= 1.8 × 10⁻⁴) to 0.971 (</w:t>
      </w:r>
      <w:r>
        <w:rPr>
          <w:i/>
          <w:iCs/>
        </w:rPr>
        <w:t xml:space="preserve">P</w:t>
      </w:r>
      <w:r>
        <w:t xml:space="preserve"> </w:t>
      </w:r>
      <w:r>
        <w:t xml:space="preserve">= 0.48). The accumulated-warming coefficient barely changes (1.394 → 1.440), and neither does the interaction (0.876 → 0.852), as H1 predicted. The remaining corrections are comparatively minor: treating structural zeros in the effort database as coverage gaps moves effort by −0.038; area-weighting the provincial climate series moves it by +0.029; the completeness offset restores +0.167, recovering signal that right-censoring had attenuated; and the province-by-year random intercept removes a further 0.038.</w:t>
      </w:r>
    </w:p>
    <w:p>
      <w:pPr>
        <w:pStyle w:val="BodyText"/>
      </w:pPr>
      <w:r>
        <w:t xml:space="preserve">Both shifts follow from the timing of publication. Publication year and the size of the observational database increase together, so a record assigned to its publication year sits in a cell whose recorded effort exceeds the effort that produced the observation. The same shift detaches the record from the weather of the year in which the bird was seen, which creates the spurious climate-variability effect. A 15-year trailing mean of warming barely moves when a record shifts by one or two years.</w:t>
      </w:r>
    </w:p>
    <w:bookmarkEnd w:id="25"/>
    <w:bookmarkStart w:id="26" w:name="warming-and-effort-contribute-comparably"/>
    <w:p>
      <w:pPr>
        <w:pStyle w:val="Heading3"/>
      </w:pPr>
      <w:r>
        <w:t xml:space="preserve">Warming and effort contribute comparably</w:t>
      </w:r>
    </w:p>
    <w:p>
      <w:pPr>
        <w:pStyle w:val="FirstParagraph"/>
      </w:pPr>
      <w:r>
        <w:t xml:space="preserve">In the frozen main model, both drivers raise the hazard and the effect sizes are similar (Figure 1a; Table 2). One standard deviation of accumulated warming relative to a species’ historical range multiplies the annual hazard by 1.365 (95% CI 1.219–1.528;</w:t>
      </w:r>
      <w:r>
        <w:t xml:space="preserve"> </w:t>
      </w:r>
      <w:r>
        <w:rPr>
          <w:i/>
          <w:iCs/>
        </w:rPr>
        <w:t xml:space="preserve">P</w:t>
      </w:r>
      <w:r>
        <w:t xml:space="preserve"> </w:t>
      </w:r>
      <w:r>
        <w:t xml:space="preserve">= 7.2 × 10⁻⁸); one standard deviation of survey effort multiplies it by 1.429 (1.268–1.611;</w:t>
      </w:r>
      <w:r>
        <w:t xml:space="preserve"> </w:t>
      </w:r>
      <w:r>
        <w:rPr>
          <w:i/>
          <w:iCs/>
        </w:rPr>
        <w:t xml:space="preserve">P</w:t>
      </w:r>
      <w:r>
        <w:t xml:space="preserve"> </w:t>
      </w:r>
      <w:r>
        <w:t xml:space="preserve">= 4.9 × 10⁻⁹). Annual climate variability has no effect (0.995, 0.908–1.089;</w:t>
      </w:r>
      <w:r>
        <w:t xml:space="preserve"> </w:t>
      </w:r>
      <w:r>
        <w:rPr>
          <w:i/>
          <w:iCs/>
        </w:rPr>
        <w:t xml:space="preserve">P</w:t>
      </w:r>
      <w:r>
        <w:t xml:space="preserve"> </w:t>
      </w:r>
      <w:r>
        <w:t xml:space="preserve">= 0.91). The two main effects interact negatively (0.839, 0.752–0.936;</w:t>
      </w:r>
      <w:r>
        <w:t xml:space="preserve"> </w:t>
      </w:r>
      <w:r>
        <w:rPr>
          <w:i/>
          <w:iCs/>
        </w:rPr>
        <w:t xml:space="preserve">P</w:t>
      </w:r>
      <w:r>
        <w:t xml:space="preserve"> </w:t>
      </w:r>
      <w:r>
        <w:t xml:space="preserve">= 1.7 × 10⁻³): the marginal effect of warming is steepest where effort is low and flattens where coverage is already dense (Figure 1b).</w:t>
      </w:r>
    </w:p>
    <w:p>
      <w:pPr>
        <w:pStyle w:val="BodyText"/>
      </w:pPr>
      <w:r>
        <w:t xml:space="preserve">The warming coefficient must be read against a benchmark above unity. Permuting warming among species within a province-year, or the event indicator among species at risk, still returns about 1.16, because both permutations preserve the covariance between provincial-annual climate and event counts. The observed 1.365 lies outside that null (</w:t>
      </w:r>
      <w:r>
        <w:rPr>
          <w:i/>
          <w:iCs/>
        </w:rPr>
        <w:t xml:space="preserve">P</w:t>
      </w:r>
      <w:r>
        <w:t xml:space="preserve"> </w:t>
      </w:r>
      <w:r>
        <w:t xml:space="preserve">= 0.005 for both), but only the increment, 1.365/1.161 ≈ 1.18, is attributable to referencing warming to each species’ range; the remainder is a baseline that the null shares. Effort behaves differently. Permuting it across years within a province collapses its hazard ratio to 0.979, with a null interval covering unity, so the effort effect arises from the timing of effort within provinces, and contrasts between provinces contribute little. A province-cluster bootstrap widens the Wald intervals to 1.20–1.72 for warming and 1.24–1.78 for effort; both lower bounds exceed unity, and the interaction stays below it (0.73–0.99).</w:t>
      </w:r>
    </w:p>
    <w:p>
      <w:pPr>
        <w:pStyle w:val="BodyText"/>
      </w:pPr>
      <w:r>
        <w:t xml:space="preserve">In natural units (Figure 4c), one standard deviation of accumulated warming is 0.179 °C: a province that has warmed by that much more than a species’ own historical Chinese range carries a 36% higher annual hazard for that species. Across the observed range of the variable (−0.65 to +0.61 °C), the implied hazard spans roughly ninefold. One standard deviation of survey effort corresponds to a 7.89-fold increase in annual provincial visits, from a median of 60.5 visits per year to about 478.</w:t>
      </w:r>
    </w:p>
    <w:p>
      <w:pPr>
        <w:pStyle w:val="BodyText"/>
      </w:pPr>
      <w:r>
        <w:t xml:space="preserve">Much of the variation in the climate variable lies among species within the same province and year (Figure 4a, b): 39% of the variance in accumulated warming and 55% of that in the raw gradient. In Yunnan in 2020, for example, accumulated warming ranges from +0.309 °C for</w:t>
      </w:r>
      <w:r>
        <w:t xml:space="preserve"> </w:t>
      </w:r>
      <w:r>
        <w:rPr>
          <w:i/>
          <w:iCs/>
        </w:rPr>
        <w:t xml:space="preserve">Aethopyga christinae</w:t>
      </w:r>
      <w:r>
        <w:t xml:space="preserve">, whose Chinese range has warmed less than Yunnan has, to −0.280 °C for</w:t>
      </w:r>
      <w:r>
        <w:t xml:space="preserve"> </w:t>
      </w:r>
      <w:r>
        <w:rPr>
          <w:i/>
          <w:iCs/>
        </w:rPr>
        <w:t xml:space="preserve">Coracias garrulus</w:t>
      </w:r>
      <w:r>
        <w:t xml:space="preserve">, whose range has warmed more. A province-level warming index would give both species the same value.</w:t>
      </w:r>
    </w:p>
    <w:p>
      <w:pPr>
        <w:pStyle w:val="BodyText"/>
      </w:pPr>
      <w:r>
        <w:t xml:space="preserve">Four independent importance criteria agree that warming and effort are of comparable weight, with warming slightly ahead on discrimination (Figure 1c). Dropping accumulated warming costs 29.9 AIC units and 0.053 of marginal AUC; dropping survey effort costs 33.4 AIC units and 0.033 of marginal AUC. The interaction costs 7.8 AIC units. Dropping annual variability improves AIC by 2.0 units; we retain it as one half of a pre-specified decomposition.</w:t>
      </w:r>
    </w:p>
    <w:p>
      <w:pPr>
        <w:pStyle w:val="BodyText"/>
      </w:pPr>
      <w:r>
        <w:t xml:space="preserve">The discrimination ladder shows the same balance (Figure 1d). With the random structure held at the main model, fixed-effect-only AUC rises from 0.410 for the null model to 0.559 with effort alone, 0.580 with accumulated warming alone, and 0.610 with both. Climate alone discriminates better than effort alone; neither alone approaches the pair.</w:t>
      </w:r>
    </w:p>
    <w:bookmarkEnd w:id="26"/>
    <w:bookmarkStart w:id="27" w:name="X4964e81b6b6a7a31e5e5620c741e270c4b55e0f"/>
    <w:p>
      <w:pPr>
        <w:pStyle w:val="Heading3"/>
      </w:pPr>
      <w:r>
        <w:t xml:space="preserve">Separating the observation process requires a province-by-year level</w:t>
      </w:r>
    </w:p>
    <w:p>
      <w:pPr>
        <w:pStyle w:val="FirstParagraph"/>
      </w:pPr>
      <w:r>
        <w:t xml:space="preserve">We evaluated six random-effect structures against four criteria, of which AIC is only one (Table 3; Supplementary Fig. S1). Adding a province-by-year intercept to the conventional species + province structure improves AIC by 92.1 units, raises conditional</w:t>
      </w:r>
      <w:r>
        <w:t xml:space="preserve"> </w:t>
      </w:r>
      <w:r>
        <w:rPr>
          <w:i/>
          <w:iCs/>
        </w:rPr>
        <w:t xml:space="preserve">R</w:t>
      </w:r>
      <w:r>
        <w:t xml:space="preserve">² from 0.279 to 0.413, raises conditional AUC from 0.722 to 0.853, and raises the intraclass correlation from 0.172 to 0.356. Marginal AUC, the discrimination attributable to the fixed effects, is flat across all six structures (0.611–0.614), so the added level absorbs observational heterogeneity without redistributing the fixed-effect signal, as H2 predicted.</w:t>
      </w:r>
    </w:p>
    <w:p>
      <w:pPr>
        <w:pStyle w:val="BodyText"/>
      </w:pPr>
      <w:r>
        <w:t xml:space="preserve">Two further structures were tested. A species-specific random slope on accumulated warming (ΔAIC 2.6 relative to the best) and a province-specific random slope on effort (ΔAIC 0.0, the AIC optimum) both fit marginally better, but both</w:t>
      </w:r>
      <w:r>
        <w:t xml:space="preserve"> </w:t>
      </w:r>
      <w:r>
        <w:rPr>
          <w:i/>
          <w:iCs/>
        </w:rPr>
        <w:t xml:space="preserve">reduce</w:t>
      </w:r>
      <w:r>
        <w:t xml:space="preserve"> </w:t>
      </w:r>
      <w:r>
        <w:t xml:space="preserve">conditional</w:t>
      </w:r>
      <w:r>
        <w:t xml:space="preserve"> </w:t>
      </w:r>
      <w:r>
        <w:rPr>
          <w:i/>
          <w:iCs/>
        </w:rPr>
        <w:t xml:space="preserve">R</w:t>
      </w:r>
      <w:r>
        <w:t xml:space="preserve">² (0.405 and 0.400 respectively, against 0.413 for the simpler structure), and their fixed effects are indistinguishable from those of the main model (effort 1.422 and 1.404; warming 1.351 and 1.368). We therefore froze the three-level intercept structure, the most parsimonious of the three statistically indistinguishable options and the one with the highest explanatory power. No variance component collapses in any structure (minimum standard deviation 0.272).</w:t>
      </w:r>
    </w:p>
    <w:bookmarkEnd w:id="27"/>
    <w:bookmarkStart w:id="28" w:name="what-each-level-of-the-model-represents"/>
    <w:p>
      <w:pPr>
        <w:pStyle w:val="Heading3"/>
      </w:pPr>
      <w:r>
        <w:t xml:space="preserve">What each level of the model represents</w:t>
      </w:r>
    </w:p>
    <w:p>
      <w:pPr>
        <w:pStyle w:val="FirstParagraph"/>
      </w:pPr>
      <w:r>
        <w:t xml:space="preserve">Each random term corresponds to a distinct process, and the fitted magnitudes are themselves results (Figure 4d, Figure 5); the ecological rationale for every component is given in Supplementary Table S2.</w:t>
      </w:r>
    </w:p>
    <w:p>
      <w:pPr>
        <w:pStyle w:val="BodyText"/>
      </w:pPr>
      <w:r>
        <w:rPr>
          <w:i/>
          <w:iCs/>
        </w:rPr>
        <w:t xml:space="preserve">Species (SD 0.404).</w:t>
      </w:r>
      <w:r>
        <w:t xml:space="preserve"> </w:t>
      </w:r>
      <w:r>
        <w:t xml:space="preserve">Species differ in intrinsic detectability for reasons no covariate in the model captures. One standard deviation multiplies the hazard by 1.50, and the fitted species span a 3.7-fold range (Figure 5a).</w:t>
      </w:r>
    </w:p>
    <w:p>
      <w:pPr>
        <w:pStyle w:val="BodyText"/>
      </w:pPr>
      <w:r>
        <w:rPr>
          <w:i/>
          <w:iCs/>
        </w:rPr>
        <w:t xml:space="preserve">Province (SD 0.332).</w:t>
      </w:r>
      <w:r>
        <w:t xml:space="preserve"> </w:t>
      </w:r>
      <w:r>
        <w:t xml:space="preserve">One standard deviation multiplies the hazard by 1.39 (Figure 5b).</w:t>
      </w:r>
    </w:p>
    <w:p>
      <w:pPr>
        <w:pStyle w:val="BodyText"/>
      </w:pPr>
      <w:r>
        <w:rPr>
          <w:i/>
          <w:iCs/>
        </w:rPr>
        <w:t xml:space="preserve">Province by year (SD 0.798).</w:t>
      </w:r>
      <w:r>
        <w:t xml:space="preserve"> </w:t>
      </w:r>
      <w:r>
        <w:t xml:space="preserve">This is the largest variance component in the model. One standard deviation multiplies the hazard by 2.22, more than either fixed effect, and the fitted levels span a thirteenfold range (Figure 5c). It represents the scale at which observation operates: a regional survey campaign, a provincial birding festival, a newly established protected area or a new local reporting channel raises the documentation rate for one province in one year. Because such pulses are not shared nationally, a model with only species and province intercepts cannot absorb them.</w:t>
      </w:r>
    </w:p>
    <w:p>
      <w:pPr>
        <w:pStyle w:val="BodyText"/>
      </w:pPr>
      <w:r>
        <w:rPr>
          <w:i/>
          <w:iCs/>
        </w:rPr>
        <w:t xml:space="preserve">Reporting completeness offset.</w:t>
      </w:r>
      <w:r>
        <w:t xml:space="preserve"> </w:t>
      </w:r>
      <w:r>
        <w:t xml:space="preserve">This known correction consumes no degrees of freedom; omitting it attenuates the effort coefficient from 1.404 to 1.264, because censoring is concentrated in the recent, high-effort years.</w:t>
      </w:r>
    </w:p>
    <w:bookmarkEnd w:id="28"/>
    <w:bookmarkStart w:id="29" w:name="X012f128c6ef1d20a69179a95914058ad7741e93"/>
    <w:p>
      <w:pPr>
        <w:pStyle w:val="Heading3"/>
      </w:pPr>
      <w:r>
        <w:t xml:space="preserve">Migratory strategy shifts the baseline hazard but moderates neither driver</w:t>
      </w:r>
    </w:p>
    <w:p>
      <w:pPr>
        <w:pStyle w:val="FirstParagraph"/>
      </w:pPr>
      <w:r>
        <w:t xml:space="preserve">New provincial records could arise by different routes in species with different migratory strategies. Residents disperse slowly, whereas long-distance migrants can appear far outside their range as vagrants or storm-displaced individuals and are visible only on passage. We therefore tested whether strategy moderates either driver (Supplementary Table S3; Supplementary Fig. S3).</w:t>
      </w:r>
    </w:p>
    <w:p>
      <w:pPr>
        <w:pStyle w:val="BodyText"/>
      </w:pPr>
      <w:r>
        <w:t xml:space="preserve">The analysis uses the three groups with a known strategy: 137 resident, 72 partial-migrant and 107 long-distance-migrant species, carrying 218, 156 and 175 events. Species with no recorded strategy are excluded. Their event rate is 0.792% against 0.29–0.42% in the other groups, because a species without trait data entered the candidate pool only by virtue of having a record.</w:t>
      </w:r>
    </w:p>
    <w:p>
      <w:pPr>
        <w:pStyle w:val="BodyText"/>
      </w:pPr>
      <w:r>
        <w:t xml:space="preserve">Migratory strategy shifts the baseline hazard: adding it as a main effect improves fit (ΔAIC 6.2) and is the best model in the ladder. It does not moderate either driver: adding warming × strategy, effort × strategy, both, or the full three-way term each</w:t>
      </w:r>
      <w:r>
        <w:t xml:space="preserve"> </w:t>
      </w:r>
      <w:r>
        <w:rPr>
          <w:i/>
          <w:iCs/>
        </w:rPr>
        <w:t xml:space="preserve">worsens</w:t>
      </w:r>
      <w:r>
        <w:t xml:space="preserve"> </w:t>
      </w:r>
      <w:r>
        <w:t xml:space="preserve">AIC, and none is supported by a likelihood-ratio test (</w:t>
      </w:r>
      <w:r>
        <w:rPr>
          <w:i/>
          <w:iCs/>
        </w:rPr>
        <w:t xml:space="preserve">P</w:t>
      </w:r>
      <w:r>
        <w:t xml:space="preserve"> </w:t>
      </w:r>
      <w:r>
        <w:t xml:space="preserve">= 0.692, 0.638, 0.792 and 0.260 respectively).</w:t>
      </w:r>
    </w:p>
    <w:p>
      <w:pPr>
        <w:pStyle w:val="BodyText"/>
      </w:pPr>
      <w:r>
        <w:t xml:space="preserve">Fitting each group separately agrees. Accumulated warming raises the hazard in every group: 1.363 (95% CI 1.158–1.604) in residents, 1.511 (1.243–1.837) in partial migrants and 1.512 (1.264–1.809) in long-distance migrants. Survey effort does too (1.287, 1.338 and 1.333). The intervals overlap almost completely; long-distance migrants, for which we expected warming to matter least, have the highest point estimate, though it is indistinguishable from the others. A warming × effort interaction confined to long-distance migrants, and the identifiability constraints of the stratified fits, are reported in Supplementary Note S2; because the test of group differences is not significant, we treat that pattern as a hypothesis still to be tested.</w:t>
      </w:r>
    </w:p>
    <w:bookmarkEnd w:id="29"/>
    <w:bookmarkStart w:id="30" w:name="which-species-and-which-provinces"/>
    <w:p>
      <w:pPr>
        <w:pStyle w:val="Heading3"/>
      </w:pPr>
      <w:r>
        <w:t xml:space="preserve">Which species, and which provinces</w:t>
      </w:r>
    </w:p>
    <w:p>
      <w:pPr>
        <w:pStyle w:val="FirstParagraph"/>
      </w:pPr>
      <w:r>
        <w:t xml:space="preserve">Two coarser questions complement the hazard model: which species are more likely to yield a new provincial record at all, and which provinces accumulate more of them. We followed the framework of the companion mammal study (Ding et al., 2025), adapted to birds (Supplementary Figs S4, S5; Supplementary Tables S4, S5).</w:t>
      </w:r>
    </w:p>
    <w:p>
      <w:pPr>
        <w:pStyle w:val="BodyText"/>
      </w:pPr>
      <w:r>
        <w:rPr>
          <w:i/>
          <w:iCs/>
        </w:rPr>
        <w:t xml:space="preserve">Species level.</w:t>
      </w:r>
      <w:r>
        <w:t xml:space="preserve"> </w:t>
      </w:r>
      <w:r>
        <w:t xml:space="preserve">The pool is the 1,445 Chinese bird species of the national ecological trait database, of which 1,312 match the dated Clements phylogeny and 361 acquired at least one new provincial record, carrying 636 of the 657 events (Supplementary Note S3).</w:t>
      </w:r>
    </w:p>
    <w:p>
      <w:pPr>
        <w:pStyle w:val="BodyText"/>
      </w:pPr>
      <w:r>
        <w:t xml:space="preserve">Two effects hold under all three phylogenetic treatments: partial migrants are about twice as likely as residents to yield a new provincial record (odds ratio 1.89–2.50, all</w:t>
      </w:r>
      <w:r>
        <w:t xml:space="preserve"> </w:t>
      </w:r>
      <w:r>
        <w:rPr>
          <w:i/>
          <w:iCs/>
        </w:rPr>
        <w:t xml:space="preserve">P</w:t>
      </w:r>
      <w:r>
        <w:t xml:space="preserve"> </w:t>
      </w:r>
      <w:r>
        <w:t xml:space="preserve">&lt; 0.001), and range size raises the odds by 1.23–1.46 per standard deviation. Partial migrants also carry the highest raw event rate in the hazard model (0.418% against 0.29–0.33%). Body mass, clutch size, habitat breadth, diet breadth, number of congeners, hand-wing index, IUCN status, endemism and trophic niche show no detectable effect. In mammals, by contrast, smaller-bodied, nocturnal and data-deficient species were more often newly recorded (Ding et al., 2025). A stratified fit recovers two group-specific patterns, including a vagrancy signature among full migrants (Supplementary Table S6); refitting without species whose traits were imputed leaves every conclusion intact (Supplementary Note S3).</w:t>
      </w:r>
    </w:p>
    <w:p>
      <w:pPr>
        <w:pStyle w:val="BodyText"/>
      </w:pPr>
      <w:r>
        <w:t xml:space="preserve">Range size has to be measured as an area (Supplementary Table S4). Two area measures, both independent of the response, agree: global range area gives an odds ratio of 1.456 (95% CI 1.204–1.762,</w:t>
      </w:r>
      <w:r>
        <w:t xml:space="preserve"> </w:t>
      </w:r>
      <w:r>
        <w:rPr>
          <w:i/>
          <w:iCs/>
        </w:rPr>
        <w:t xml:space="preserve">P</w:t>
      </w:r>
      <w:r>
        <w:t xml:space="preserve"> </w:t>
      </w:r>
      <w:r>
        <w:t xml:space="preserve">= 1.1 × 10⁻⁴, n = 1,298) and Chinese range area, taken from BirdLife polygons clipped to China, gives 1.653 (1.420–1.925,</w:t>
      </w:r>
      <w:r>
        <w:t xml:space="preserve"> </w:t>
      </w:r>
      <w:r>
        <w:rPr>
          <w:i/>
          <w:iCs/>
        </w:rPr>
        <w:t xml:space="preserve">P</w:t>
      </w:r>
      <w:r>
        <w:t xml:space="preserve"> </w:t>
      </w:r>
      <w:r>
        <w:t xml:space="preserve">= 9.0 × 10⁻¹¹, n = 1,003). The count of provinces occupied does not qualify: published in 2022, it already contains the 2002–2021 records used as the response, returns an inflated odds ratio of 2.09 (</w:t>
      </w:r>
      <w:r>
        <w:rPr>
          <w:i/>
          <w:iCs/>
        </w:rPr>
        <w:t xml:space="preserve">P</w:t>
      </w:r>
      <w:r>
        <w:t xml:space="preserve"> </w:t>
      </w:r>
      <w:r>
        <w:t xml:space="preserve">= 5 × 10⁻¹⁵), and absorbs the area effect entirely when both are entered (area 0.96,</w:t>
      </w:r>
      <w:r>
        <w:t xml:space="preserve"> </w:t>
      </w:r>
      <w:r>
        <w:rPr>
          <w:i/>
          <w:iCs/>
        </w:rPr>
        <w:t xml:space="preserve">P</w:t>
      </w:r>
      <w:r>
        <w:t xml:space="preserve"> </w:t>
      </w:r>
      <w:r>
        <w:t xml:space="preserve">= 0.70).</w:t>
      </w:r>
    </w:p>
    <w:p>
      <w:pPr>
        <w:pStyle w:val="BodyText"/>
      </w:pPr>
      <w:r>
        <w:rPr>
          <w:i/>
          <w:iCs/>
        </w:rPr>
        <w:t xml:space="preserve">Province level.</w:t>
      </w:r>
      <w:r>
        <w:t xml:space="preserve"> </w:t>
      </w:r>
      <w:r>
        <w:t xml:space="preserve">Counts of new records per province are overdispersed relative to Poisson (dispersion 5.59,</w:t>
      </w:r>
      <w:r>
        <w:t xml:space="preserve"> </w:t>
      </w:r>
      <w:r>
        <w:rPr>
          <w:i/>
          <w:iCs/>
        </w:rPr>
        <w:t xml:space="preserve">P</w:t>
      </w:r>
      <w:r>
        <w:t xml:space="preserve"> </w:t>
      </w:r>
      <w:r>
        <w:t xml:space="preserve">= 2.8 × 10⁻¹⁷); a negative binomial is adequate (1.23,</w:t>
      </w:r>
      <w:r>
        <w:t xml:space="preserve"> </w:t>
      </w:r>
      <w:r>
        <w:rPr>
          <w:i/>
          <w:iCs/>
        </w:rPr>
        <w:t xml:space="preserve">P</w:t>
      </w:r>
      <w:r>
        <w:t xml:space="preserve"> </w:t>
      </w:r>
      <w:r>
        <w:t xml:space="preserve">= 0.20, θ = 6.12) and passes simulation-based diagnostics. Only regional species richness is significant in the count model (incidence rate ratio 1.27,</w:t>
      </w:r>
      <w:r>
        <w:t xml:space="preserve"> </w:t>
      </w:r>
      <w:r>
        <w:rPr>
          <w:i/>
          <w:iCs/>
        </w:rPr>
        <w:t xml:space="preserve">P</w:t>
      </w:r>
      <w:r>
        <w:t xml:space="preserve"> </w:t>
      </w:r>
      <w:r>
        <w:t xml:space="preserve">= 0.035). Treating recent effort as an offset makes the response a discovery rate per unit effort: provinces already well covered in 2002–2008 yield fewer records per unit of recent effort (0.70,</w:t>
      </w:r>
      <w:r>
        <w:t xml:space="preserve"> </w:t>
      </w:r>
      <w:r>
        <w:rPr>
          <w:i/>
          <w:iCs/>
        </w:rPr>
        <w:t xml:space="preserve">P</w:t>
      </w:r>
      <w:r>
        <w:t xml:space="preserve"> </w:t>
      </w:r>
      <w:r>
        <w:t xml:space="preserve">= 0.023), as do those with higher GDP per capita (0.61,</w:t>
      </w:r>
      <w:r>
        <w:t xml:space="preserve"> </w:t>
      </w:r>
      <w:r>
        <w:rPr>
          <w:i/>
          <w:iCs/>
        </w:rPr>
        <w:t xml:space="preserve">P</w:t>
      </w:r>
      <w:r>
        <w:t xml:space="preserve"> </w:t>
      </w:r>
      <w:r>
        <w:t xml:space="preserve">= 0.0026). Hierarchical partitioning attributes 51.2% of explained deviance to species richness, 32.9% to area and 9% to the effort terms; the full model explains 20.6%.</w:t>
      </w:r>
    </w:p>
    <w:p>
      <w:pPr>
        <w:pStyle w:val="BodyText"/>
      </w:pPr>
      <w:r>
        <w:t xml:space="preserve">At the provincial scale, then, effort appears as diminishing returns, the same signal that the hazard model shows as an effort coefficient falling through time. Supplementary Note S3 documents the one departure from the mammal framework.</w:t>
      </w:r>
    </w:p>
    <w:bookmarkEnd w:id="30"/>
    <w:bookmarkStart w:id="31" w:name="X0d5b5018cb971d0fe0ceaa85a3aa407d91c3459"/>
    <w:p>
      <w:pPr>
        <w:pStyle w:val="Heading3"/>
      </w:pPr>
      <w:r>
        <w:t xml:space="preserve">Records lie slightly north of where geometry and effort place them</w:t>
      </w:r>
    </w:p>
    <w:p>
      <w:pPr>
        <w:pStyle w:val="FirstParagraph"/>
      </w:pPr>
      <w:r>
        <w:t xml:space="preserve">Bearings from the centroid of each species’ global range (Tobias et al., 2022) to its new records are far from uniform (χ² = 580.1, df = 7,</w:t>
      </w:r>
      <w:r>
        <w:t xml:space="preserve"> </w:t>
      </w:r>
      <w:r>
        <w:rPr>
          <w:i/>
          <w:iCs/>
        </w:rPr>
        <w:t xml:space="preserve">P</w:t>
      </w:r>
      <w:r>
        <w:t xml:space="preserve"> </w:t>
      </w:r>
      <w:r>
        <w:t xml:space="preserve">= 4.6 × 10⁻¹²¹; Figure 6a): east holds 237 of 642 records (36.9%) and northeast 179 (27.9%), whereas south and west hold 20 and 19. A uniform expectation is the wrong benchmark, however. Many of these species have ranges centred west or south of China, so a record anywhere in China lies east or north of the centroid by position alone. Reassigning each record at random among its species’ candidate provinces reproduces the pattern closely: 234.8 records are expected to the east and 158.6 to the northeast, no sector departs from expectation after Holm correction, and the omnibus departure is small (χ² = 10.8, Monte Carlo</w:t>
      </w:r>
      <w:r>
        <w:t xml:space="preserve"> </w:t>
      </w:r>
      <w:r>
        <w:rPr>
          <w:i/>
          <w:iCs/>
        </w:rPr>
        <w:t xml:space="preserve">P</w:t>
      </w:r>
      <w:r>
        <w:t xml:space="preserve"> </w:t>
      </w:r>
      <w:r>
        <w:t xml:space="preserve">= 0.039; Figure 6a, b; Supplementary Tables S9, S10).</w:t>
      </w:r>
    </w:p>
    <w:p>
      <w:pPr>
        <w:pStyle w:val="BodyText"/>
      </w:pPr>
      <w:r>
        <w:t xml:space="preserve">Weighting the candidate provinces by their 2002–2024 survey visits adds the observation process to the null, and the departure that remains points north (χ² = 26.8,</w:t>
      </w:r>
      <w:r>
        <w:t xml:space="preserve"> </w:t>
      </w:r>
      <w:r>
        <w:rPr>
          <w:i/>
          <w:iCs/>
        </w:rPr>
        <w:t xml:space="preserve">P</w:t>
      </w:r>
      <w:r>
        <w:t xml:space="preserve"> </w:t>
      </w:r>
      <w:r>
        <w:t xml:space="preserve">= 0.001). Records fall to the northeast (179 against 151.8 expected) and northwest (31 against 17.7) more often, and to the east (237 against 264.3) less often, than the distribution of survey effort predicts (Holm-adjusted</w:t>
      </w:r>
      <w:r>
        <w:t xml:space="preserve"> </w:t>
      </w:r>
      <w:r>
        <w:rPr>
          <w:i/>
          <w:iCs/>
        </w:rPr>
        <w:t xml:space="preserve">P</w:t>
      </w:r>
      <w:r>
        <w:t xml:space="preserve"> </w:t>
      </w:r>
      <w:r>
        <w:t xml:space="preserve">= 0.016–0.024); the southern deficit (20 against 32.4) is marginal (Holm-adjusted</w:t>
      </w:r>
      <w:r>
        <w:t xml:space="preserve"> </w:t>
      </w:r>
      <w:r>
        <w:rPr>
          <w:i/>
          <w:iCs/>
        </w:rPr>
        <w:t xml:space="preserve">P</w:t>
      </w:r>
      <w:r>
        <w:t xml:space="preserve"> </w:t>
      </w:r>
      <w:r>
        <w:t xml:space="preserve">= 0.050). The three northern sectors hold 40.2% of records against 32.8% expected. Of the five best-sampled orders, only Passeriformes departs from both nulls under both placements of provinces (</w:t>
      </w:r>
      <w:r>
        <w:rPr>
          <w:i/>
          <w:iCs/>
        </w:rPr>
        <w:t xml:space="preserve">P</w:t>
      </w:r>
      <w:r>
        <w:t xml:space="preserve"> </w:t>
      </w:r>
      <w:r>
        <w:t xml:space="preserve">≤ 0.007), again with an excess in its northern sectors (38.7% against 30.0%); the four smaller orders are consistent with geometry or depart from it under only one placement (Supplementary Table S10; Supplementary Fig. S15).</w:t>
      </w:r>
    </w:p>
    <w:p>
      <w:pPr>
        <w:pStyle w:val="BodyText"/>
      </w:pPr>
      <w:r>
        <w:t xml:space="preserve">The eastward concentration of raw bearings therefore reflects China’s position relative to species’ global ranges and carries no information about observers or climate. Once geometry and effort are accounted for, new records lie modestly poleward of expectation, and placing each province at a point on its surface instead of at the mean position of its records gives the same result (χ² = 12.0 and 23.5).</w:t>
      </w:r>
    </w:p>
    <w:bookmarkEnd w:id="31"/>
    <w:bookmarkStart w:id="32" w:name="the-return-on-survey-effort-is-declining"/>
    <w:p>
      <w:pPr>
        <w:pStyle w:val="Heading3"/>
      </w:pPr>
      <w:r>
        <w:t xml:space="preserve">The return on survey effort is declining</w:t>
      </w:r>
    </w:p>
    <w:p>
      <w:pPr>
        <w:pStyle w:val="FirstParagraph"/>
      </w:pPr>
      <w:r>
        <w:t xml:space="preserve">The proportional-hazards assumption holds for accumulated warming (interaction with time β &lt; 0.001,</w:t>
      </w:r>
      <w:r>
        <w:t xml:space="preserve"> </w:t>
      </w:r>
      <w:r>
        <w:rPr>
          <w:i/>
          <w:iCs/>
        </w:rPr>
        <w:t xml:space="preserve">P</w:t>
      </w:r>
      <w:r>
        <w:t xml:space="preserve"> </w:t>
      </w:r>
      <w:r>
        <w:t xml:space="preserve">= 1.00) but not for effort (β = −0.190,</w:t>
      </w:r>
      <w:r>
        <w:t xml:space="preserve"> </w:t>
      </w:r>
      <w:r>
        <w:rPr>
          <w:i/>
          <w:iCs/>
        </w:rPr>
        <w:t xml:space="preserve">P</w:t>
      </w:r>
      <w:r>
        <w:t xml:space="preserve"> </w:t>
      </w:r>
      <w:r>
        <w:t xml:space="preserve">= 2.1 × 10⁻³), and the departure is itself a result. Allowing the effort coefficient to vary through time, its hazard ratio falls from 2.14 (95% CI 1.61–2.85) in 2002 to 1.13 (0.93–1.37) in 2024, crossing into non-significance in the early 2020s (Figure 5d). An additional standard deviation of effort now yields far fewer first records than it did at the start of the period. The warming term shows no such decline, as H4 predicted, although we did not test the two time interactions against each other.</w:t>
      </w:r>
    </w:p>
    <w:bookmarkEnd w:id="32"/>
    <w:bookmarkStart w:id="33" w:name="robustness"/>
    <w:p>
      <w:pPr>
        <w:pStyle w:val="Heading3"/>
      </w:pPr>
      <w:r>
        <w:t xml:space="preserve">Robustness</w:t>
      </w:r>
    </w:p>
    <w:p>
      <w:pPr>
        <w:pStyle w:val="FirstParagraph"/>
      </w:pPr>
      <w:r>
        <w:t xml:space="preserve">None of the conclusions depends on the analytical choices we were free to vary (Figure 3).</w:t>
      </w:r>
    </w:p>
    <w:p>
      <w:pPr>
        <w:pStyle w:val="BodyText"/>
      </w:pPr>
      <w:r>
        <w:rPr>
          <w:i/>
          <w:iCs/>
        </w:rPr>
        <w:t xml:space="preserve">Species-distribution-model threshold.</w:t>
      </w:r>
      <w:r>
        <w:t xml:space="preserve"> </w:t>
      </w:r>
      <w:r>
        <w:t xml:space="preserve">Raising the requirement from 50 to 200 suitable cells (about 0.9 to 3.7 thousand km²) changes the risk set from 175,640 to 155,207 rows but leaves the coefficients essentially fixed (effort 1.429, 1.431, 1.437; warming 1.365, 1.379, 1.375; interaction 0.839, 0.840, 0.839).</w:t>
      </w:r>
    </w:p>
    <w:p>
      <w:pPr>
        <w:pStyle w:val="BodyText"/>
      </w:pPr>
      <w:r>
        <w:rPr>
          <w:i/>
          <w:iCs/>
        </w:rPr>
        <w:t xml:space="preserve">Climate indicator.</w:t>
      </w:r>
      <w:r>
        <w:t xml:space="preserve"> </w:t>
      </w:r>
      <w:r>
        <w:t xml:space="preserve">Annual mean temperature carries the signal; warmest-month maximum temperature carries a weaker version of it (hazard ratio 1.30, ΔAIC 10.4 behind the best cell) but shows no interaction with effort; coldest-month minimum temperature and winter mean temperature show no signal at any window (hazard ratios 0.96–1.08, all</w:t>
      </w:r>
      <w:r>
        <w:t xml:space="preserve"> </w:t>
      </w:r>
      <w:r>
        <w:rPr>
          <w:i/>
          <w:iCs/>
        </w:rPr>
        <w:t xml:space="preserve">P</w:t>
      </w:r>
      <w:r>
        <w:t xml:space="preserve"> </w:t>
      </w:r>
      <w:r>
        <w:t xml:space="preserve">&gt; 0.11).</w:t>
      </w:r>
    </w:p>
    <w:p>
      <w:pPr>
        <w:pStyle w:val="BodyText"/>
      </w:pPr>
      <w:r>
        <w:rPr>
          <w:i/>
          <w:iCs/>
        </w:rPr>
        <w:t xml:space="preserve">Accumulation window and climate baseline.</w:t>
      </w:r>
      <w:r>
        <w:t xml:space="preserve"> </w:t>
      </w:r>
      <w:r>
        <w:t xml:space="preserve">We tested windows of 5, 10, 15 and 20 years against 1980–2000 and 1970–2000 baselines (Supplementary Note S5; Supplementary Fig. S2). The warming coefficient rises with window length in every series, from 1.16–1.22 at five years to 1.38–1.40 at twenty, as expected of a process that integrates climate over decades. A 3–23-year grid (Supplementary Table S8) places the optimum at 18–20 years; the pre-specified 15 years lies within 2.1–6.0 AIC units of it. The effort coefficient is flat at 1.37–1.43 and the interaction negative throughout (0.82–0.96), so the two terms are separately identified. The baseline changes the estimate only modestly: at</w:t>
      </w:r>
      <w:r>
        <w:t xml:space="preserve"> </w:t>
      </w:r>
      <w:r>
        <w:rPr>
          <w:i/>
          <w:iCs/>
        </w:rPr>
        <w:t xml:space="preserve">W</w:t>
      </w:r>
      <w:r>
        <w:t xml:space="preserve"> </w:t>
      </w:r>
      <w:r>
        <w:t xml:space="preserve">= 15 the hazard ratio is 1.366 under CRU 1970–2000 and 1.319 under CRU 1980–2000, and the main estimate (1.365) differs from the former by 0.001. Because the 0.5° CRU grid smooths topography, one standard deviation of accumulated warming is 0.058 °C in the CRU series against 0.179 °C in the main one; natural-unit statements refer to the latter.</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1.55 and warming hazard ratios between 1.33 and 1.39.</w:t>
      </w:r>
    </w:p>
    <w:bookmarkEnd w:id="33"/>
    <w:bookmarkStart w:id="34" w:name="model-adequacy"/>
    <w:p>
      <w:pPr>
        <w:pStyle w:val="Heading3"/>
      </w:pPr>
      <w:r>
        <w:t xml:space="preserve">Model adequacy</w:t>
      </w:r>
    </w:p>
    <w:p>
      <w:pPr>
        <w:pStyle w:val="FirstParagraph"/>
      </w:pPr>
      <w:r>
        <w:t xml:space="preserve">Simulation-based residual diagnostics indicate a well-calibrated model (Supplementary Table S1; Supplementary Fig. S9). Scaled residuals are uniform (Kolmogorov–Smirnov</w:t>
      </w:r>
      <w:r>
        <w:t xml:space="preserve"> </w:t>
      </w:r>
      <w:r>
        <w:rPr>
          <w:i/>
          <w:iCs/>
        </w:rPr>
        <w:t xml:space="preserve">P</w:t>
      </w:r>
      <w:r>
        <w:t xml:space="preserve"> </w:t>
      </w:r>
      <w:r>
        <w:t xml:space="preserve">= 0.86), dispersion is correct (</w:t>
      </w:r>
      <w:r>
        <w:rPr>
          <w:i/>
          <w:iCs/>
        </w:rPr>
        <w:t xml:space="preserve">P</w:t>
      </w:r>
      <w:r>
        <w:t xml:space="preserve"> </w:t>
      </w:r>
      <w:r>
        <w:t xml:space="preserve">= 0.51) and there is no zero inflation (</w:t>
      </w:r>
      <w:r>
        <w:rPr>
          <w:i/>
          <w:iCs/>
        </w:rPr>
        <w:t xml:space="preserve">P</w:t>
      </w:r>
      <w:r>
        <w:t xml:space="preserve"> </w:t>
      </w:r>
      <w:r>
        <w:t xml:space="preserve">= 0.52). None of 23 year levels and three of 31 province levels show within-group deviation at</w:t>
      </w:r>
      <w:r>
        <w:t xml:space="preserve"> </w:t>
      </w:r>
      <w:r>
        <w:rPr>
          <w:i/>
          <w:iCs/>
        </w:rPr>
        <w:t xml:space="preserve">P</w:t>
      </w:r>
      <w:r>
        <w:t xml:space="preserve"> </w:t>
      </w:r>
      <w:r>
        <w:t xml:space="preserve">&lt; 0.05, consistent with the nominal rate. Province-mean residuals show no spatial autocorrelation (Moran’s</w:t>
      </w:r>
      <w:r>
        <w:t xml:space="preserve"> </w:t>
      </w:r>
      <w:r>
        <w:rPr>
          <w:i/>
          <w:iCs/>
        </w:rPr>
        <w:t xml:space="preserve">I</w:t>
      </w:r>
      <w:r>
        <w:t xml:space="preserve"> </w:t>
      </w:r>
      <w:r>
        <w:t xml:space="preserve">= −0.042 against an expectation of −0.033; permutation</w:t>
      </w:r>
      <w:r>
        <w:t xml:space="preserve"> </w:t>
      </w:r>
      <w:r>
        <w:rPr>
          <w:i/>
          <w:iCs/>
        </w:rPr>
        <w:t xml:space="preserve">P</w:t>
      </w:r>
      <w:r>
        <w:t xml:space="preserve"> </w:t>
      </w:r>
      <w:r>
        <w:t xml:space="preserve">= 0.76). The outlier test is significant (86 outliers,</w:t>
      </w:r>
      <w:r>
        <w:t xml:space="preserve"> </w:t>
      </w:r>
      <w:r>
        <w:rPr>
          <w:i/>
          <w:iCs/>
        </w:rPr>
        <w:t xml:space="preserve">P</w:t>
      </w:r>
      <w:r>
        <w:t xml:space="preserve"> </w:t>
      </w:r>
      <w:r>
        <w:t xml:space="preserve">&lt; 0.001), as expected for a binary outcome with an event rate of 0.37%.</w:t>
      </w:r>
    </w:p>
    <w:p>
      <w:pPr>
        <w:pStyle w:val="BodyText"/>
      </w:pPr>
      <w:r>
        <w:t xml:space="preserve">Three resampling analyses complete the assessment (Supplementary Fig. S11). The design-preserving nulls place every reported coefficient except annual climate variability outside its null. A 300-resample cluster bootstrap shows that provincial clustering inflates standard errors 1.30–1.53-fold and species clustering does not (0.89–1.19); Table 2 reports both intervals. A 150-simulation parametric bootstrap recovers the coefficients with bias below 0.01 on the log-hazard scale and coverage of 92.0–93.3%. Leaving out each province, or each of ten species deciles, moves the coefficients by at most 3.9%, so no single province or species group carries the result. A refit allowing both focal effects to vary through time is reported in Supplementary Note S4.</w:t>
      </w:r>
    </w:p>
    <w:bookmarkEnd w:id="34"/>
    <w:bookmarkStart w:id="35" w:name="X30c910c5c654a1a1551de8e16c7c8a457dac784"/>
    <w:p>
      <w:pPr>
        <w:pStyle w:val="Heading3"/>
      </w:pPr>
      <w:r>
        <w:t xml:space="preserve">How far can these relationships be projected?</w:t>
      </w:r>
    </w:p>
    <w:p>
      <w:pPr>
        <w:pStyle w:val="FirstParagraph"/>
      </w:pPr>
      <w:r>
        <w:t xml:space="preserve">We projected the fitted hazard under SSP2-4.5 and SSP5-8.5 for 2030, 2050 and 2080 and asked how much of each scenario lies inside the range over which the model was fitted (Figure 7b).</w:t>
      </w:r>
    </w:p>
    <w:p>
      <w:pPr>
        <w:pStyle w:val="BodyText"/>
      </w:pPr>
      <w:r>
        <w:t xml:space="preserve">The historical species-specific gradient has a standard deviation of only 0.18 °C, whereas future province-minus-range differentials reach 2 °C, and effort leaves its fitted range sooner still because its 2024 level is already the highest observed. Only 45.7% of species-province cells fall inside the fitted covariate support under SSP2-4.5 in 2030, 6.3% in 2050 and none in 2080; under SSP5-8.5, 30.3% in 2030 and none thereafter.</w:t>
      </w:r>
    </w:p>
    <w:p>
      <w:pPr>
        <w:pStyle w:val="BodyText"/>
      </w:pPr>
      <w:r>
        <w:t xml:space="preserve">Restricted to cells inside the support, the mechanistic model projects hazard ratios relative to 2024 of 0.95 to 1.50 (Supplementary Fig. S6). Applied without the mask, the same model produces ratios up to 88 (Supplementary Fig. S10).</w:t>
      </w:r>
    </w:p>
    <w:p>
      <w:pPr>
        <w:pStyle w:val="BodyText"/>
      </w:pPr>
      <w:r>
        <w:t xml:space="preserve">A gradient-boosted model fitted to the same three predictors shows why the support matters. Within the observed range the two model families track each other across province-years (Spearman ρ = 0.56); outside it they agree on the direction of change in only 8.6% of cells, and in none under SSP5-8.5 in 2080 (Figure 7c). The cause is structural: tree ensembles saturate once covariates leave the training support, whereas the complementary log-log model extrapolates linearly on the log-hazard scale. TreeSHAP attributions within the training range are monotone for both drivers (Supplementary Fig. S8).</w:t>
      </w:r>
    </w:p>
    <w:p>
      <w:pPr>
        <w:pStyle w:val="BodyText"/>
      </w:pPr>
      <w:r>
        <w:t xml:space="preserve">With climate and survey effort as independent scenario axes (Supplementary Fig. S17), freezing effort at its 2024 level and switching from SSP2-4.5 to SSP5-8.5 leaves the national expectation essentially unchanged (26.1 versus 25.9 first records per year in 2030; 26.8 versus 26.9 in 2050), whereas effort growing at 0.6 SD per decade, half the observed pace, raises the 2050 expectation to 79–89 records per year with no species–province cell left inside the fitted support (38–43% under frozen effort). The projected number of records is governed by the effort scenario, and its increase lies entirely outside the fitted support.</w:t>
      </w:r>
    </w:p>
    <w:p>
      <w:pPr>
        <w:pStyle w:val="BodyText"/>
      </w:pPr>
      <w:r>
        <w:t xml:space="preserve">Random forest and XGBoost models fitted under identical validation designs lead the mechanistic model on leave-species folds but trail it on temporal and leave-one-province prediction, and all three families agree on where the next records will fall (Spearman ρ 0.59–0.89; Supplementary Note S7; Supplementary Figs S18, S19). On the same scenario grid they diverge sharply (Supplementary Figs S20, S21): calibrated to a common 2024 total, the mechanistic model reaches 79.3 records per year under SSP2-4.5 with continued effort growth in 2050, the random forest stays at 23.9 and XGBoost falls to 7.4, differences produced by boundary leaves that the data cannot adjudicate.</w:t>
      </w:r>
    </w:p>
    <w:bookmarkEnd w:id="35"/>
    <w:bookmarkStart w:id="36" w:name="Xa603fd61b537936ac0a58ae8871fd1570a266a5"/>
    <w:p>
      <w:pPr>
        <w:pStyle w:val="Heading3"/>
      </w:pPr>
      <w:r>
        <w:t xml:space="preserve">Records inside nature reserves track the observation process</w:t>
      </w:r>
    </w:p>
    <w:p>
      <w:pPr>
        <w:pStyle w:val="FirstParagraph"/>
      </w:pPr>
      <w:r>
        <w:t xml:space="preserve">Twenty-six per cent of new records fall inside one of the 1,028 mapped Chinese nature reserves, against a land-area share of 10.4%, an apparent 2.5-fold enrichment that would ordinarily be read as evidence that the network is receiving redistributing species. Birding effort, however, is not concentrated in reserves: the checklist-weighted share inside them is 10.8%, indistinguishable from the area share. Matching each event to 200 control locations from the same province and year, weighted by the checklists recorded there, reduces the enrichment to an odds ratio of 1.71 (95% CI 1.39–2.11), and to 1.57 (1.26–1.96) after adding elevation, longitude and two bioclimatic covariates (Supplementary Note S6; Supplementary Fig. S12).</w:t>
      </w:r>
    </w:p>
    <w:p>
      <w:pPr>
        <w:pStyle w:val="BodyText"/>
      </w:pPr>
      <w:r>
        <w:t xml:space="preserve">Three features argue that even this residual association is largely observational. It rests on few sites: the 172 inside-reserve events fall in 68 reserves, the top two holding 27.3%; dropping those two leaves 1.16 (0.92–1.47). It is confined to the period of rapid growth in birdwatching (2.05, 1.61–2.59, for 2013–2023 against 0.97, 0.62–1.50, for 2002–2012), although the mapped network gained no area after 2012. And checklists inside reserves record 18.9 species against 15.3 outside, a 24% difference in per-visit yield that stratification cannot remove. Because within-site observation bias cannot be conditioned out, we declared in advance how the result would be read: a null would be strong evidence against an ecological contribution, a positive one weak evidence for it. The 1.57 odds ratio is therefore an upper bound, and record counts inside reserves should not index reserve performance.</w:t>
      </w:r>
    </w:p>
    <w:p>
      <w:pPr>
        <w:pStyle w:val="BodyText"/>
      </w:pPr>
      <w:r>
        <w:t xml:space="preserve">Two further results point the same way. Of all first records, 41.1% were re-detected in the same province at least once and 22.5% in three or more later years, so provincial first records are neither mostly vagrants nor mostly established colonisations; whether a record persists is unrelated to reserve status once later survey effort is controlled (odds ratios 1.01, 0.62–1.64, and 1.10, 0.61–1.99). And the network shows no measurable mismatch with observed warming: with warming recomputed at cell level from CRU TS 4.09, area-weighted coverage across warming quintiles spans only 8.5–11.8%, against the 8.5-fold range implied by the provincial field broadcast to cells, and a stratified permutation places the observed correlation inside the null (</w:t>
      </w:r>
      <w:r>
        <w:rPr>
          <w:i/>
          <w:iCs/>
        </w:rPr>
        <w:t xml:space="preserve">P</w:t>
      </w:r>
      <w:r>
        <w:t xml:space="preserve"> </w:t>
      </w:r>
      <w:r>
        <w:t xml:space="preserve">= 0.48). What the network lacks is monitoring: the upper warming tercile crossed with the lower recent-effort tercile identifies 3.93 × 10⁵ km² inside existing reserves, where monitoring could be grafted onto current management, and 1.60 × 10⁶ km² outside any mapped reserve (Supplementary Figs S13, S14). All statements here apply only to the 1,028 mapped reserves established before 2012, and we make no causal claim.</w:t>
      </w:r>
    </w:p>
    <w:bookmarkEnd w:id="36"/>
    <w:bookmarkEnd w:id="37"/>
    <w:bookmarkStart w:id="38" w:name="discussion"/>
    <w:p>
      <w:pPr>
        <w:pStyle w:val="Heading2"/>
      </w:pPr>
      <w:r>
        <w:t xml:space="preserve">Discussion</w:t>
      </w:r>
    </w:p>
    <w:p>
      <w:pPr>
        <w:pStyle w:val="FirstParagraph"/>
      </w:pPr>
      <w:r>
        <w:t xml:space="preserve">New provincial bird records in China reflect both the movement of birds and the growth of birdwatching, in similar measure. Once records are dated to discovery and observation is modelled explicitly, a standard deviation of warming relative to a species’ historical range raises the annual hazard of a first record about as much as a standard deviation of survey effort (hazard ratios 1.36 and 1.43). Which of the two appears to dominate depends on a field that analyses of such compilations seldom question: the date. We had expected effort to dominate, given the growth of birdwatching and the association of new mammal records with survey effort (Ding et al., 2025); that expectation held only under publication-year dating.</w:t>
      </w:r>
    </w:p>
    <w:p>
      <w:pPr>
        <w:pStyle w:val="BodyText"/>
      </w:pPr>
      <w:r>
        <w:t xml:space="preserve">Publication dating biases estimates in a predictable direction (H1). Publication lags discovery by about two years and observation grew almost every year, so a record dated to publication is credited to a year in which more people were looking than when the bird was found, and the error favours whichever covariate trends with observer numbers. The same shift detaches a record from the weather of its discovery year, which is how a spurious effect of annual climate variability arises. The problem extends beyond new records: most new plant species are described from specimens collected years or decades earlier (Bebber et al., 2010), and assessments of alien-species accumulation rest on dated first records (Seebens et al., 2017). Any analysis relating such series to trending covariates is exposed to the same bias. The first remedy is to record the date of observation, as CBNR does. Where that is impossible, a completeness offset like ours, the discrete-time counterpart of the reporting-delay adjustments used in epidemiological surveillance (Lawless, 1994), corrects the expected hazard for records not yet published.</w:t>
      </w:r>
    </w:p>
    <w:p>
      <w:pPr>
        <w:pStyle w:val="BodyText"/>
      </w:pPr>
      <w:r>
        <w:t xml:space="preserve">The two drivers also behave differently through time. The return on effort fell from 2.14 in 2002 to 1.13 in 2024, and provinces that were well surveyed in 2002–2008 later yielded fewer records per unit of effort, whereas the return on warming showed no detectable change (H4). We read this as the difference between a stock and a flow. Effort draws down a stock of occurrences that were detectable but undocumented, the Wallacean shortfall; warming keeps adding to it as the climate of each province moves relative to species’ ranges. The negative interaction (H3) fits the same reading: where effort has long been high, many of the species that warming favours have already been recorded, and the pairs left at risk respond less. Depletion of this kind is expected in hazard analyses, because the most susceptible units leave the risk set first (Hernán, 2010). Geography offers an alternative: sparsely surveyed provinces are disproportionately western and montane, where steep gradients may make a given amount of warming more consequential, and this alone could produce a negative interaction. Nor did we test the two time trends against each other. If the stock-and-flow reading is correct, the share of new records that reflects redistribution will grow as the stock is exhausted, and new-record series will become more informative about climate, provided that their dating and the observation process are modelled.</w:t>
      </w:r>
    </w:p>
    <w:p>
      <w:pPr>
        <w:pStyle w:val="BodyText"/>
      </w:pPr>
      <w:r>
        <w:t xml:space="preserve">The warming coefficient also needs the right benchmark. Permutations that retain provincial-annual climate but scramble species identity still return a hazard ratio of about 1.16, so the component attributable to referencing warming to each species’ own range is about 1.18. The rest is an association between provincial climate and the number of records in a province-year, which may be climatic or observational and which a species-blind analysis would reproduce. Direction makes the same point more sharply: the apparent eastward concentration of new records is what China’s position relative to species’ global ranges produces when records fall at random among candidate provinces. Against a null that also follows survey effort, records lie further north than expected, with 40.2% in the three northern sectors against 32.8%. Directional readings of new records (Xing et al., 2024; Chen et al., 2025) therefore need a geometric and observational benchmark; against one, the poleward signal in these data is detectable but modest.</w:t>
      </w:r>
    </w:p>
    <w:p>
      <w:pPr>
        <w:pStyle w:val="BodyText"/>
      </w:pPr>
      <w:r>
        <w:t xml:space="preserve">Projection meets a different limit. Because the species-referenced gradient varied little and effort is projected past its observed peak, late-century scenarios push all species–province cells outside the fitted support, where the mechanistic and machine-learning models agree on the direction of change in fewer than one cell in ten. The scenario projections also apply the effort coefficient estimated over the whole period, although its value had fallen to 1.13 by 2024, so the effort-driven rise they imply is an upper bound. Projections of record generation, and of other indicators built on species-specific climate differentials, should report the share of projected cells inside the fitted support (Elith et al., 2010; Mesgaran et al., 2014; Yates et al., 2018). Where that share is small, a near-term surface with an explicit support mask is more defensible than a century-scale map.</w:t>
      </w:r>
    </w:p>
    <w:p>
      <w:pPr>
        <w:pStyle w:val="BodyText"/>
      </w:pPr>
      <w:r>
        <w:t xml:space="preserve">Several limitations bound these conclusions. The events are published records, and the model has no explicit detection component, so the coefficients describe the generation of documented records; a species present but unreported is counted as absent, and no coefficient measures range expansion itself. The province-by-year intercept absorbs provincial climate anomalies as well as survey pulses, which protects the fixed effects from observational confounding but, if anything, biases the warming estimate towards zero. Effort is measured per province and year, far more coarsely than the sites observers visit, and the directional nulls likewise place records at province level. The candidate pool rests on species-distribution models whose thresholds we varied but whose structure we did not, and vagrants without established Chinese ranges were excluded, so the results describe dynamics at range margins. The most recent years remain right-censored: the completeness offset corrects the expected hazard but cannot recover unpublished records. The design is observational, and no coefficient should be read as causal.</w:t>
      </w:r>
    </w:p>
    <w:p>
      <w:pPr>
        <w:pStyle w:val="BodyText"/>
      </w:pPr>
      <w:r>
        <w:t xml:space="preserve">A province-year pulse of one standard deviation multiplies the hazard of a first record by 2.22, more than either driver, so survey campaigns change the biodiversity record quickly and should be placed deliberately. Because effort acts on a logarithmic scale and well-surveyed provinces yield fewer records per unit of new effort, additional visits document most where surveys are sparse, which is also where warming raises the hazard most; existing reserves in the upper tercile of warming and the lower tercile of recent effort (3.93 × 10⁵ km²) are a practical starting point. Because the return on effort has fallen within two decades, a plateau in new records should not be taken to mean that redistribution has slowed. Records inside nature reserves track where people watch birds and should not be used to score reserve performance. Finally, compilers of new-record data can make every later analysis more reliable, at little cost, by publishing both the date of observation and the date of publication for each record.</w:t>
      </w:r>
    </w:p>
    <w:bookmarkEnd w:id="38"/>
    <w:bookmarkStart w:id="39" w:name="acknowledgements"/>
    <w:p>
      <w:pPr>
        <w:pStyle w:val="Heading2"/>
      </w:pPr>
      <w:r>
        <w:t xml:space="preserve">Acknowledgements</w:t>
      </w:r>
    </w:p>
    <w:p>
      <w:pPr>
        <w:pStyle w:val="FirstParagraph"/>
      </w:pPr>
      <w:r>
        <w:t xml:space="preserve">We thank the birdwatchers who contributed observations to eBird and China Bird Report, and the authors of the publications compiled in CBNR. [Funding sources and grant numbers to be added by the authors.] The authors used Claude (Anthropic) to assist with drafting and editing text, checking numerical consistency and writing figure code; they reviewed and verified all content and take full responsibility for it.</w:t>
      </w:r>
    </w:p>
    <w:bookmarkEnd w:id="39"/>
    <w:bookmarkStart w:id="40" w:name="conflict-of-interest-statement"/>
    <w:p>
      <w:pPr>
        <w:pStyle w:val="Heading2"/>
      </w:pPr>
      <w:r>
        <w:t xml:space="preserve">Conflict of interest statement</w:t>
      </w:r>
    </w:p>
    <w:p>
      <w:pPr>
        <w:pStyle w:val="FirstParagraph"/>
      </w:pPr>
      <w:r>
        <w:t xml:space="preserve">The authors declare no conflicts of interest.</w:t>
      </w:r>
    </w:p>
    <w:bookmarkEnd w:id="40"/>
    <w:bookmarkStart w:id="41" w:name="data-availability-statement"/>
    <w:p>
      <w:pPr>
        <w:pStyle w:val="Heading2"/>
      </w:pPr>
      <w:r>
        <w:t xml:space="preserve">Data availability statement</w:t>
      </w:r>
    </w:p>
    <w:p>
      <w:pPr>
        <w:pStyle w:val="FirstParagraph"/>
      </w:pPr>
      <w:r>
        <w:t xml:space="preserve">The new-record data analysed in this study are version 2 of the China Bird New Record dataset (CBNR), openly available under a CC BY 4.0 licence in Zenodo at https://doi.org/10.5281/zenodo.20809949 (Ding et al., 2026). Nature-reserve boundaries are openly available in Zenodo at https://doi.org/10.5281/zenodo.14875797 (China Nature Reserve Specimen Resource Sharing Platform, 2024). Historical monthly climate (WorldClim 2.1 downscaling of CRU TS 4.09; Fick &amp; Hijmans, 2017; Harris et al., 2020) and CMIP6 projections are publicly available from WorldClim (https://www.worldclim.org). Species range maps (BirdLife International &amp; Handbook of the Birds of the World, 2024) are available on request from BirdLife International (http://datazone.birdlife.org/species/requestdis); their licence does not permit redistribution. Survey-effort indicators were derived from eBird/GBIF occurrence records (2024 records: GBIF.org, 2026, https://doi.org/10.15468/dl.vfeeak) and China Bird Report checklists (http://www.birdreport.cn); the raw records remain subject to their providers’ terms, and the province-year effort panel is provided in the project repository. All analysis code (R 4.5.1), the risk set, the derived climate and effort panels and every result table are available at https://github.com/dingchenchen6/bird-newrecord-discovery-dated (Ding, 2026) and will be archived in Zenodo with a DOI upon acceptance; the model equations and all parameter estimates are given in Materials and Methods and Supporting Information.</w:t>
      </w:r>
    </w:p>
    <w:bookmarkEnd w:id="41"/>
    <w:bookmarkStart w:id="42" w:name="references"/>
    <w:p>
      <w:pPr>
        <w:pStyle w:val="Heading2"/>
      </w:pPr>
      <w:r>
        <w:t xml:space="preserve">References</w:t>
      </w:r>
    </w:p>
    <w:p>
      <w:pPr>
        <w:pStyle w:val="FirstParagraph"/>
      </w:pPr>
      <w:r>
        <w:t xml:space="preserve">Allison, P. D. Discrete-time methods for the analysis of event histories.</w:t>
      </w:r>
      <w:r>
        <w:t xml:space="preserve"> </w:t>
      </w:r>
      <w:r>
        <w:rPr>
          <w:i/>
          <w:iCs/>
        </w:rPr>
        <w:t xml:space="preserve">Sociol. Methodol.</w:t>
      </w:r>
      <w:r>
        <w:t xml:space="preserve"> </w:t>
      </w:r>
      <w:r>
        <w:rPr>
          <w:b/>
          <w:bCs/>
        </w:rPr>
        <w:t xml:space="preserve">13</w:t>
      </w:r>
      <w:r>
        <w:t xml:space="preserve">, 61–98 (1982). https://doi.org/10.2307/270718</w:t>
      </w:r>
    </w:p>
    <w:p>
      <w:pPr>
        <w:pStyle w:val="BodyText"/>
      </w:pPr>
      <w:r>
        <w:t xml:space="preserve">Bebber, D. P. et al. Herbaria are a major frontier for species discovery.</w:t>
      </w:r>
      <w:r>
        <w:t xml:space="preserve"> </w:t>
      </w:r>
      <w:r>
        <w:rPr>
          <w:i/>
          <w:iCs/>
        </w:rPr>
        <w:t xml:space="preserve">Proc. Natl Acad. Sci. USA</w:t>
      </w:r>
      <w:r>
        <w:t xml:space="preserve"> </w:t>
      </w:r>
      <w:r>
        <w:rPr>
          <w:b/>
          <w:bCs/>
        </w:rPr>
        <w:t xml:space="preserve">107</w:t>
      </w:r>
      <w:r>
        <w:t xml:space="preserve">, 22169–22171 (2010). https://doi.org/10.1073/pnas.1011841108</w:t>
      </w:r>
    </w:p>
    <w:p>
      <w:pPr>
        <w:pStyle w:val="BodyText"/>
      </w:pPr>
      <w:r>
        <w:t xml:space="preserve">BirdLife International &amp; Handbook of the Birds of the World. Bird species distribution maps of the world, version 2024. http://datazone.birdlife.org/species/requestdis (2024).</w:t>
      </w:r>
    </w:p>
    <w:p>
      <w:pPr>
        <w:pStyle w:val="BodyText"/>
      </w:pPr>
      <w:r>
        <w:t xml:space="preserve">Boakes, E. H. et al. Distorted views of biodiversity: spatial and temporal bias in species occurrence data.</w:t>
      </w:r>
      <w:r>
        <w:t xml:space="preserve"> </w:t>
      </w:r>
      <w:r>
        <w:rPr>
          <w:i/>
          <w:iCs/>
        </w:rPr>
        <w:t xml:space="preserve">PLoS Biol.</w:t>
      </w:r>
      <w:r>
        <w:t xml:space="preserve"> </w:t>
      </w:r>
      <w:r>
        <w:rPr>
          <w:b/>
          <w:bCs/>
        </w:rPr>
        <w:t xml:space="preserve">8</w:t>
      </w:r>
      <w:r>
        <w:t xml:space="preserve">, e1000385 (2010). https://doi.org/10.1371/journal.pbio.1000385</w:t>
      </w:r>
    </w:p>
    <w:p>
      <w:pPr>
        <w:pStyle w:val="BodyText"/>
      </w:pPr>
      <w:r>
        <w:t xml:space="preserve">Bowler, D. E. et al. Treating gaps and biases in biodiversity data as a missing data problem.</w:t>
      </w:r>
      <w:r>
        <w:t xml:space="preserve"> </w:t>
      </w:r>
      <w:r>
        <w:rPr>
          <w:i/>
          <w:iCs/>
        </w:rPr>
        <w:t xml:space="preserve">Biol. Rev.</w:t>
      </w:r>
      <w:r>
        <w:t xml:space="preserve"> </w:t>
      </w:r>
      <w:r>
        <w:rPr>
          <w:b/>
          <w:bCs/>
        </w:rPr>
        <w:t xml:space="preserve">100</w:t>
      </w:r>
      <w:r>
        <w:t xml:space="preserve">, 50–67 (2025). https://doi.org/10.1111/brv.13127</w:t>
      </w:r>
    </w:p>
    <w:p>
      <w:pPr>
        <w:pStyle w:val="BodyText"/>
      </w:pPr>
      <w:r>
        <w:t xml:space="preserve">Brooks, M. E. et al. glmmTMB balances speed and flexibility among packages for zero-inflated generalized linear mixed modeling.</w:t>
      </w:r>
      <w:r>
        <w:t xml:space="preserve"> </w:t>
      </w:r>
      <w:r>
        <w:rPr>
          <w:i/>
          <w:iCs/>
        </w:rPr>
        <w:t xml:space="preserve">R J.</w:t>
      </w:r>
      <w:r>
        <w:t xml:space="preserve"> </w:t>
      </w:r>
      <w:r>
        <w:rPr>
          <w:b/>
          <w:bCs/>
        </w:rPr>
        <w:t xml:space="preserve">9</w:t>
      </w:r>
      <w:r>
        <w:t xml:space="preserve">, 378–400 (2017). https://doi.org/10.32614/RJ-2017-066</w:t>
      </w:r>
    </w:p>
    <w:p>
      <w:pPr>
        <w:pStyle w:val="BodyText"/>
      </w:pPr>
      <w:r>
        <w:t xml:space="preserve">Chen, I.-C., Hill, J. K., Ohlemüller, R., Roy, D. B. &amp; Thomas, C. D. Rapid range shifts of species associated with high levels of climate warming.</w:t>
      </w:r>
      <w:r>
        <w:t xml:space="preserve"> </w:t>
      </w:r>
      <w:r>
        <w:rPr>
          <w:i/>
          <w:iCs/>
        </w:rPr>
        <w:t xml:space="preserve">Science</w:t>
      </w:r>
      <w:r>
        <w:t xml:space="preserve"> </w:t>
      </w:r>
      <w:r>
        <w:rPr>
          <w:b/>
          <w:bCs/>
        </w:rPr>
        <w:t xml:space="preserve">333</w:t>
      </w:r>
      <w:r>
        <w:t xml:space="preserve">, 1024–1026 (2011). https://doi.org/10.1126/science.1206432</w:t>
      </w:r>
    </w:p>
    <w:p>
      <w:pPr>
        <w:pStyle w:val="BodyText"/>
      </w:pPr>
      <w:r>
        <w:t xml:space="preserve">Chen, S. et al. Chinese provincial-level new records for 96 resident bird species reveal poleward range shifts.</w:t>
      </w:r>
      <w:r>
        <w:t xml:space="preserve"> </w:t>
      </w:r>
      <w:r>
        <w:rPr>
          <w:i/>
          <w:iCs/>
        </w:rPr>
        <w:t xml:space="preserve">Avian Res.</w:t>
      </w:r>
      <w:r>
        <w:t xml:space="preserve"> </w:t>
      </w:r>
      <w:r>
        <w:rPr>
          <w:b/>
          <w:bCs/>
        </w:rPr>
        <w:t xml:space="preserve">16</w:t>
      </w:r>
      <w:r>
        <w:t xml:space="preserve">, 100310 (2025). https://doi.org/10.1016/j.avrs.2025.100310</w:t>
      </w:r>
    </w:p>
    <w:p>
      <w:pPr>
        <w:pStyle w:val="BodyText"/>
      </w:pPr>
      <w:r>
        <w:t xml:space="preserve">Chen, T. &amp; Guestrin, C. XGBoost: a scalable tree boosting system. In</w:t>
      </w:r>
      <w:r>
        <w:t xml:space="preserve"> </w:t>
      </w:r>
      <w:r>
        <w:rPr>
          <w:i/>
          <w:iCs/>
        </w:rPr>
        <w:t xml:space="preserve">Proc. 22nd ACM SIGKDD Int. Conf. Knowledge Discovery and Data Mining</w:t>
      </w:r>
      <w:r>
        <w:t xml:space="preserve"> </w:t>
      </w:r>
      <w:r>
        <w:t xml:space="preserve">785–794 (2016). https://doi.org/10.1145/2939672.2939785</w:t>
      </w:r>
    </w:p>
    <w:p>
      <w:pPr>
        <w:pStyle w:val="BodyText"/>
      </w:pPr>
      <w:r>
        <w:t xml:space="preserve">China Nature Reserve Specimen Resource Sharing Platform. List and vector boundaries of nature reserves in China. Zenodo https://doi.org/10.5281/zenodo.14875797 (2024).</w:t>
      </w:r>
    </w:p>
    <w:p>
      <w:pPr>
        <w:pStyle w:val="BodyText"/>
      </w:pPr>
      <w:r>
        <w:t xml:space="preserve">Ding, C. Analysis code for</w:t>
      </w:r>
      <w:r>
        <w:t xml:space="preserve"> </w:t>
      </w:r>
      <w:r>
        <w:t xml:space="preserve">‘Warming and survey effort contribute comparably to new bird distribution records when dated to discovery’</w:t>
      </w:r>
      <w:r>
        <w:t xml:space="preserve">. GitHub https://github.com/dingchenchen6/bird-newrecord-discovery-dated (2026).</w:t>
      </w:r>
    </w:p>
    <w:p>
      <w:pPr>
        <w:pStyle w:val="BodyText"/>
      </w:pPr>
      <w:r>
        <w:t xml:space="preserve">Ding, C. et al. A dataset of provincial-level new distribution records for birds in China from 2000 to 2025.</w:t>
      </w:r>
      <w:r>
        <w:t xml:space="preserve"> </w:t>
      </w:r>
      <w:r>
        <w:rPr>
          <w:i/>
          <w:iCs/>
        </w:rPr>
        <w:t xml:space="preserve">Sci. Data</w:t>
      </w:r>
      <w:r>
        <w:t xml:space="preserve"> </w:t>
      </w:r>
      <w:r>
        <w:t xml:space="preserve">(in review).</w:t>
      </w:r>
    </w:p>
    <w:p>
      <w:pPr>
        <w:pStyle w:val="BodyText"/>
      </w:pPr>
      <w:r>
        <w:t xml:space="preserve">Ding, C., Ding, J., Qiao, H., Jiang, Z. &amp; Wang, Z. Taxonomic and spatiotemporal patterns and ecological correlates of new mammal distribution records in China.</w:t>
      </w:r>
      <w:r>
        <w:t xml:space="preserve"> </w:t>
      </w:r>
      <w:r>
        <w:rPr>
          <w:i/>
          <w:iCs/>
        </w:rPr>
        <w:t xml:space="preserve">Glob. Ecol. Biogeogr.</w:t>
      </w:r>
      <w:r>
        <w:t xml:space="preserve"> </w:t>
      </w:r>
      <w:r>
        <w:rPr>
          <w:b/>
          <w:bCs/>
        </w:rPr>
        <w:t xml:space="preserve">34</w:t>
      </w:r>
      <w:r>
        <w:t xml:space="preserve">, e70165 (2025). https://doi.org/10.1111/geb.70165</w:t>
      </w:r>
    </w:p>
    <w:p>
      <w:pPr>
        <w:pStyle w:val="BodyText"/>
      </w:pPr>
      <w:r>
        <w:t xml:space="preserve">Ding, C., Zhao, H., Wang, Z., Li, L., Ding, J., Jiang, Z., Zhang, Z. &amp; Wang, Z. A dataset of provincial-level new distribution records for birds in China from 2000 to 2025 (China Bird New Record dataset, CBNR), version 2. Zenodo https://doi.org/10.5281/zenodo.20809949 (2026).</w:t>
      </w:r>
    </w:p>
    <w:p>
      <w:pPr>
        <w:pStyle w:val="BodyText"/>
      </w:pPr>
      <w:r>
        <w:t xml:space="preserve">Diniz-Filho, J. A. F. et al. Macroecological links between the Linnean, Wallacean, and Darwinian shortfalls.</w:t>
      </w:r>
      <w:r>
        <w:t xml:space="preserve"> </w:t>
      </w:r>
      <w:r>
        <w:rPr>
          <w:i/>
          <w:iCs/>
        </w:rPr>
        <w:t xml:space="preserve">Front. Biogeogr.</w:t>
      </w:r>
      <w:r>
        <w:t xml:space="preserve"> </w:t>
      </w:r>
      <w:r>
        <w:rPr>
          <w:b/>
          <w:bCs/>
        </w:rPr>
        <w:t xml:space="preserve">15</w:t>
      </w:r>
      <w:r>
        <w:t xml:space="preserve">, e59566 (2023). https://doi.org/10.21425/F5FBG59566</w:t>
      </w:r>
    </w:p>
    <w:p>
      <w:pPr>
        <w:pStyle w:val="BodyText"/>
      </w:pPr>
      <w:r>
        <w:t xml:space="preserve">Elith, J., Kearney, M. &amp; Phillips, S. The art of modelling range-shifting species.</w:t>
      </w:r>
      <w:r>
        <w:t xml:space="preserve"> </w:t>
      </w:r>
      <w:r>
        <w:rPr>
          <w:i/>
          <w:iCs/>
        </w:rPr>
        <w:t xml:space="preserve">Methods Ecol. Evol.</w:t>
      </w:r>
      <w:r>
        <w:t xml:space="preserve"> </w:t>
      </w:r>
      <w:r>
        <w:rPr>
          <w:b/>
          <w:bCs/>
        </w:rPr>
        <w:t xml:space="preserve">1</w:t>
      </w:r>
      <w:r>
        <w:t xml:space="preserve">, 330–342 (2010). https://doi.org/10.1111/j.2041-210X.2010.00036.x</w:t>
      </w:r>
    </w:p>
    <w:p>
      <w:pPr>
        <w:pStyle w:val="BodyText"/>
      </w:pPr>
      <w:r>
        <w:t xml:space="preserve">Fick, S. E. &amp; Hijmans, R. J. WorldClim 2: new 1-km spatial resolution climate surfaces for global land areas.</w:t>
      </w:r>
      <w:r>
        <w:t xml:space="preserve"> </w:t>
      </w:r>
      <w:r>
        <w:rPr>
          <w:i/>
          <w:iCs/>
        </w:rPr>
        <w:t xml:space="preserve">Int. J. Climatol.</w:t>
      </w:r>
      <w:r>
        <w:t xml:space="preserve"> </w:t>
      </w:r>
      <w:r>
        <w:rPr>
          <w:b/>
          <w:bCs/>
        </w:rPr>
        <w:t xml:space="preserve">37</w:t>
      </w:r>
      <w:r>
        <w:t xml:space="preserve">, 4302–4315 (2017). https://doi.org/10.1002/joc.5086</w:t>
      </w:r>
    </w:p>
    <w:p>
      <w:pPr>
        <w:pStyle w:val="BodyText"/>
      </w:pPr>
      <w:r>
        <w:t xml:space="preserve">GBIF.org. GBIF occurrence download: eBird Observation Dataset, China, 2024 (27 September 2026). https://doi.org/10.15468/dl.vfeeak (2026).</w:t>
      </w:r>
    </w:p>
    <w:p>
      <w:pPr>
        <w:pStyle w:val="BodyText"/>
      </w:pPr>
      <w:r>
        <w:t xml:space="preserve">Harris, I., Osborn, T. J., Jones, P. &amp; Lister, D. Version 4 of the CRU TS monthly high-resolution gridded multivariate climate dataset.</w:t>
      </w:r>
      <w:r>
        <w:t xml:space="preserve"> </w:t>
      </w:r>
      <w:r>
        <w:rPr>
          <w:i/>
          <w:iCs/>
        </w:rPr>
        <w:t xml:space="preserve">Sci. Data</w:t>
      </w:r>
      <w:r>
        <w:t xml:space="preserve"> </w:t>
      </w:r>
      <w:r>
        <w:rPr>
          <w:b/>
          <w:bCs/>
        </w:rPr>
        <w:t xml:space="preserve">7</w:t>
      </w:r>
      <w:r>
        <w:t xml:space="preserve">, 109 (2020). https://doi.org/10.1038/s41597-020-0453-3</w:t>
      </w:r>
    </w:p>
    <w:p>
      <w:pPr>
        <w:pStyle w:val="BodyText"/>
      </w:pPr>
      <w:r>
        <w:t xml:space="preserve">Hartig, F. DHARMa: residual diagnostics for hierarchical (multi-level/mixed) regression models. R package version 0.4 (2024). https://CRAN.R-project.org/package=DHARMa</w:t>
      </w:r>
    </w:p>
    <w:p>
      <w:pPr>
        <w:pStyle w:val="BodyText"/>
      </w:pPr>
      <w:r>
        <w:t xml:space="preserve">Hernán, M. A. The hazards of hazard ratios.</w:t>
      </w:r>
      <w:r>
        <w:t xml:space="preserve"> </w:t>
      </w:r>
      <w:r>
        <w:rPr>
          <w:i/>
          <w:iCs/>
        </w:rPr>
        <w:t xml:space="preserve">Epidemiology</w:t>
      </w:r>
      <w:r>
        <w:t xml:space="preserve"> </w:t>
      </w:r>
      <w:r>
        <w:rPr>
          <w:b/>
          <w:bCs/>
        </w:rPr>
        <w:t xml:space="preserve">21</w:t>
      </w:r>
      <w:r>
        <w:t xml:space="preserve">, 13–15 (2010). https://doi.org/10.1097/EDE.0b013e3181c1ea43</w:t>
      </w:r>
    </w:p>
    <w:p>
      <w:pPr>
        <w:pStyle w:val="BodyText"/>
      </w:pPr>
      <w:r>
        <w:t xml:space="preserve">Hortal, J. et al. Seven shortfalls that beset large-scale knowledge of biodiversity.</w:t>
      </w:r>
      <w:r>
        <w:t xml:space="preserve"> </w:t>
      </w:r>
      <w:r>
        <w:rPr>
          <w:i/>
          <w:iCs/>
        </w:rPr>
        <w:t xml:space="preserve">Annu. Rev. Ecol. Evol. Syst.</w:t>
      </w:r>
      <w:r>
        <w:t xml:space="preserve"> </w:t>
      </w:r>
      <w:r>
        <w:rPr>
          <w:b/>
          <w:bCs/>
        </w:rPr>
        <w:t xml:space="preserve">46</w:t>
      </w:r>
      <w:r>
        <w:t xml:space="preserve">, 523–549 (2015). https://doi.org/10.1146/annurev-ecolsys-112414-054400</w:t>
      </w:r>
    </w:p>
    <w:p>
      <w:pPr>
        <w:pStyle w:val="BodyText"/>
      </w:pPr>
      <w:r>
        <w:t xml:space="preserve">Hughes, A. C. et al. Sampling biases shape our view of the natural world.</w:t>
      </w:r>
      <w:r>
        <w:t xml:space="preserve"> </w:t>
      </w:r>
      <w:r>
        <w:rPr>
          <w:i/>
          <w:iCs/>
        </w:rPr>
        <w:t xml:space="preserve">Ecography</w:t>
      </w:r>
      <w:r>
        <w:t xml:space="preserve"> </w:t>
      </w:r>
      <w:r>
        <w:rPr>
          <w:b/>
          <w:bCs/>
        </w:rPr>
        <w:t xml:space="preserve">44</w:t>
      </w:r>
      <w:r>
        <w:t xml:space="preserve">, 1259–1269 (2021). https://doi.org/10.1111/ecog.05926</w:t>
      </w:r>
    </w:p>
    <w:p>
      <w:pPr>
        <w:pStyle w:val="BodyText"/>
      </w:pPr>
      <w:r>
        <w:t xml:space="preserve">Isaac, N. J. B., van Strien, A. J., August, T. A., de Zeeuw, M. P. &amp; Roy, D. B.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 https://doi.org/10.1111/2041-210X.12254</w:t>
      </w:r>
    </w:p>
    <w:p>
      <w:pPr>
        <w:pStyle w:val="BodyText"/>
      </w:pPr>
      <w:r>
        <w:t xml:space="preserve">Lawless, J. F. Adjustments for reporting delays and the prediction of occurred but not reported events.</w:t>
      </w:r>
      <w:r>
        <w:t xml:space="preserve"> </w:t>
      </w:r>
      <w:r>
        <w:rPr>
          <w:i/>
          <w:iCs/>
        </w:rPr>
        <w:t xml:space="preserve">Can. J. Stat.</w:t>
      </w:r>
      <w:r>
        <w:t xml:space="preserve"> </w:t>
      </w:r>
      <w:r>
        <w:rPr>
          <w:b/>
          <w:bCs/>
        </w:rPr>
        <w:t xml:space="preserve">22</w:t>
      </w:r>
      <w:r>
        <w:t xml:space="preserve">, 15–31 (1994). https://doi.org/10.2307/3315820</w:t>
      </w:r>
    </w:p>
    <w:p>
      <w:pPr>
        <w:pStyle w:val="BodyText"/>
      </w:pPr>
      <w:r>
        <w:t xml:space="preserve">Lenoir, J. &amp; Svenning, J.-C. Climate-related range shifts – a global multidimensional synthesis and new research directions.</w:t>
      </w:r>
      <w:r>
        <w:t xml:space="preserve"> </w:t>
      </w:r>
      <w:r>
        <w:rPr>
          <w:i/>
          <w:iCs/>
        </w:rPr>
        <w:t xml:space="preserve">Ecography</w:t>
      </w:r>
      <w:r>
        <w:t xml:space="preserve"> </w:t>
      </w:r>
      <w:r>
        <w:rPr>
          <w:b/>
          <w:bCs/>
        </w:rPr>
        <w:t xml:space="preserve">38</w:t>
      </w:r>
      <w:r>
        <w:t xml:space="preserve">, 15–28 (2015). https://doi.org/10.1111/ecog.00967</w:t>
      </w:r>
    </w:p>
    <w:p>
      <w:pPr>
        <w:pStyle w:val="BodyText"/>
      </w:pPr>
      <w:r>
        <w:t xml:space="preserve">Lundberg, S. M. et al. From local explanations to global understanding with explainable AI for trees.</w:t>
      </w:r>
      <w:r>
        <w:t xml:space="preserve"> </w:t>
      </w:r>
      <w:r>
        <w:rPr>
          <w:i/>
          <w:iCs/>
        </w:rPr>
        <w:t xml:space="preserve">Nat. Mach. Intell.</w:t>
      </w:r>
      <w:r>
        <w:t xml:space="preserve"> </w:t>
      </w:r>
      <w:r>
        <w:rPr>
          <w:b/>
          <w:bCs/>
        </w:rPr>
        <w:t xml:space="preserve">2</w:t>
      </w:r>
      <w:r>
        <w:t xml:space="preserve">, 56–67 (2020). https://doi.org/10.1038/s42256-019-0138-9</w:t>
      </w:r>
    </w:p>
    <w:p>
      <w:pPr>
        <w:pStyle w:val="BodyText"/>
      </w:pPr>
      <w:r>
        <w:t xml:space="preserve">Mesgaran, M. B., Cousens, R. D. &amp; Webber, B. L. Here be dragons: a tool for quantifying novelty due to covariate range and correlation change when projecting species distribution models.</w:t>
      </w:r>
      <w:r>
        <w:t xml:space="preserve"> </w:t>
      </w:r>
      <w:r>
        <w:rPr>
          <w:i/>
          <w:iCs/>
        </w:rPr>
        <w:t xml:space="preserve">Divers. Distrib.</w:t>
      </w:r>
      <w:r>
        <w:t xml:space="preserve"> </w:t>
      </w:r>
      <w:r>
        <w:rPr>
          <w:b/>
          <w:bCs/>
        </w:rPr>
        <w:t xml:space="preserve">20</w:t>
      </w:r>
      <w:r>
        <w:t xml:space="preserve">, 1147–1159 (2014). https://doi.org/10.1111/ddi.12209</w:t>
      </w:r>
    </w:p>
    <w:p>
      <w:pPr>
        <w:pStyle w:val="BodyText"/>
      </w:pPr>
      <w:r>
        <w:t xml:space="preserve">Moura, M. R. &amp; Jetz, W. Shortfalls and opportunities in terrestrial vertebrate species discovery.</w:t>
      </w:r>
      <w:r>
        <w:t xml:space="preserve"> </w:t>
      </w:r>
      <w:r>
        <w:rPr>
          <w:i/>
          <w:iCs/>
        </w:rPr>
        <w:t xml:space="preserve">Nat. Ecol. Evol.</w:t>
      </w:r>
      <w:r>
        <w:t xml:space="preserve"> </w:t>
      </w:r>
      <w:r>
        <w:rPr>
          <w:b/>
          <w:bCs/>
        </w:rPr>
        <w:t xml:space="preserve">5</w:t>
      </w:r>
      <w:r>
        <w:t xml:space="preserve">, 631–639 (2021). https://doi.org/10.1038/s41559-021-01411-5</w:t>
      </w:r>
    </w:p>
    <w:p>
      <w:pPr>
        <w:pStyle w:val="BodyText"/>
      </w:pPr>
      <w:r>
        <w:t xml:space="preserve">Nakagawa, S. &amp; Schielzeth, H. A general and simple method for obtaining</w:t>
      </w:r>
      <w:r>
        <w:t xml:space="preserve"> </w:t>
      </w:r>
      <w:r>
        <w:rPr>
          <w:i/>
          <w:iCs/>
        </w:rPr>
        <w:t xml:space="preserve">R</w:t>
      </w:r>
      <w:r>
        <w:t xml:space="preserve">² from generalized linear mixed-effects models.</w:t>
      </w:r>
      <w:r>
        <w:t xml:space="preserve"> </w:t>
      </w:r>
      <w:r>
        <w:rPr>
          <w:i/>
          <w:iCs/>
        </w:rPr>
        <w:t xml:space="preserve">Methods Ecol. Evol.</w:t>
      </w:r>
      <w:r>
        <w:t xml:space="preserve"> </w:t>
      </w:r>
      <w:r>
        <w:rPr>
          <w:b/>
          <w:bCs/>
        </w:rPr>
        <w:t xml:space="preserve">4</w:t>
      </w:r>
      <w:r>
        <w:t xml:space="preserve">, 133–142 (2013). https://doi.org/10.1111/j.2041-210x.2012.00261.x</w:t>
      </w:r>
    </w:p>
    <w:p>
      <w:pPr>
        <w:pStyle w:val="BodyText"/>
      </w:pPr>
      <w:r>
        <w:t xml:space="preserve">Oliver, R. Y., Meyer, C., Ranipeta, A., Winner, K. &amp; Jetz, W. Global and national trends, gaps, and opportunities in documenting and monitoring species distributions.</w:t>
      </w:r>
      <w:r>
        <w:t xml:space="preserve"> </w:t>
      </w:r>
      <w:r>
        <w:rPr>
          <w:i/>
          <w:iCs/>
        </w:rPr>
        <w:t xml:space="preserve">PLoS Biol.</w:t>
      </w:r>
      <w:r>
        <w:t xml:space="preserve"> </w:t>
      </w:r>
      <w:r>
        <w:rPr>
          <w:b/>
          <w:bCs/>
        </w:rPr>
        <w:t xml:space="preserve">19</w:t>
      </w:r>
      <w:r>
        <w:t xml:space="preserve">, e3001336 (2021). https://doi.org/10.1371/journal.pbio.3001336</w:t>
      </w:r>
    </w:p>
    <w:p>
      <w:pPr>
        <w:pStyle w:val="BodyText"/>
      </w:pPr>
      <w:r>
        <w:t xml:space="preserve">Parmesan, C. &amp; Yohe, G. A globally coherent fingerprint of climate change impacts across natural systems.</w:t>
      </w:r>
      <w:r>
        <w:t xml:space="preserve"> </w:t>
      </w:r>
      <w:r>
        <w:rPr>
          <w:i/>
          <w:iCs/>
        </w:rPr>
        <w:t xml:space="preserve">Nature</w:t>
      </w:r>
      <w:r>
        <w:t xml:space="preserve"> </w:t>
      </w:r>
      <w:r>
        <w:rPr>
          <w:b/>
          <w:bCs/>
        </w:rPr>
        <w:t xml:space="preserve">421</w:t>
      </w:r>
      <w:r>
        <w:t xml:space="preserve">, 37–42 (2003). https://doi.org/10.1038/nature01286</w:t>
      </w:r>
    </w:p>
    <w:p>
      <w:pPr>
        <w:pStyle w:val="BodyText"/>
      </w:pPr>
      <w:r>
        <w:t xml:space="preserve">Pecl, G. T. et al. Biodiversity redistribution under climate change: impacts on ecosystems and human well-being.</w:t>
      </w:r>
      <w:r>
        <w:t xml:space="preserve"> </w:t>
      </w:r>
      <w:r>
        <w:rPr>
          <w:i/>
          <w:iCs/>
        </w:rPr>
        <w:t xml:space="preserve">Science</w:t>
      </w:r>
      <w:r>
        <w:t xml:space="preserve"> </w:t>
      </w:r>
      <w:r>
        <w:rPr>
          <w:b/>
          <w:bCs/>
        </w:rPr>
        <w:t xml:space="preserve">355</w:t>
      </w:r>
      <w:r>
        <w:t xml:space="preserve">, eaai9214 (2017). https://doi.org/10.1126/science.aai9214</w:t>
      </w:r>
    </w:p>
    <w:p>
      <w:pPr>
        <w:pStyle w:val="BodyText"/>
      </w:pPr>
      <w:r>
        <w:t xml:space="preserve">Seebens, H. et al. No saturation in the accumulation of alien species worldwide.</w:t>
      </w:r>
      <w:r>
        <w:t xml:space="preserve"> </w:t>
      </w:r>
      <w:r>
        <w:rPr>
          <w:i/>
          <w:iCs/>
        </w:rPr>
        <w:t xml:space="preserve">Nat. Commun.</w:t>
      </w:r>
      <w:r>
        <w:t xml:space="preserve"> </w:t>
      </w:r>
      <w:r>
        <w:rPr>
          <w:b/>
          <w:bCs/>
        </w:rPr>
        <w:t xml:space="preserve">8</w:t>
      </w:r>
      <w:r>
        <w:t xml:space="preserve">, 14435 (2017). https://doi.org/10.1038/ncomms14435</w:t>
      </w:r>
    </w:p>
    <w:p>
      <w:pPr>
        <w:pStyle w:val="BodyText"/>
      </w:pPr>
      <w:r>
        <w:t xml:space="preserve">Singer, J. D. &amp; Willett, J. B. It’s about time: using discrete-time survival analysis to study duration and the timing of events.</w:t>
      </w:r>
      <w:r>
        <w:t xml:space="preserve"> </w:t>
      </w:r>
      <w:r>
        <w:rPr>
          <w:i/>
          <w:iCs/>
        </w:rPr>
        <w:t xml:space="preserve">J. Educ. Stat.</w:t>
      </w:r>
      <w:r>
        <w:t xml:space="preserve"> </w:t>
      </w:r>
      <w:r>
        <w:rPr>
          <w:b/>
          <w:bCs/>
        </w:rPr>
        <w:t xml:space="preserve">18</w:t>
      </w:r>
      <w:r>
        <w:t xml:space="preserve">, 155–195 (1993). https://doi.org/10.3102/10769986018002155</w:t>
      </w:r>
    </w:p>
    <w:p>
      <w:pPr>
        <w:pStyle w:val="BodyText"/>
      </w:pPr>
      <w:r>
        <w:t xml:space="preserve">Tingley, M. W. &amp; Beissinger, S. R. Detecting range shifts from historical species occurrences: new perspectives on old data.</w:t>
      </w:r>
      <w:r>
        <w:t xml:space="preserve"> </w:t>
      </w:r>
      <w:r>
        <w:rPr>
          <w:i/>
          <w:iCs/>
        </w:rPr>
        <w:t xml:space="preserve">Trends Ecol. Evol.</w:t>
      </w:r>
      <w:r>
        <w:t xml:space="preserve"> </w:t>
      </w:r>
      <w:r>
        <w:rPr>
          <w:b/>
          <w:bCs/>
        </w:rPr>
        <w:t xml:space="preserve">24</w:t>
      </w:r>
      <w:r>
        <w:t xml:space="preserve">, 625–633 (2009). https://doi.org/10.1016/j.tree.2009.05.009</w:t>
      </w:r>
    </w:p>
    <w:p>
      <w:pPr>
        <w:pStyle w:val="BodyText"/>
      </w:pPr>
      <w:r>
        <w:t xml:space="preserve">Tobias, J. A. et al. AVONET: morphological, ecological and geographical data for all birds.</w:t>
      </w:r>
      <w:r>
        <w:t xml:space="preserve"> </w:t>
      </w:r>
      <w:r>
        <w:rPr>
          <w:i/>
          <w:iCs/>
        </w:rPr>
        <w:t xml:space="preserve">Ecol. Lett.</w:t>
      </w:r>
      <w:r>
        <w:t xml:space="preserve"> </w:t>
      </w:r>
      <w:r>
        <w:rPr>
          <w:b/>
          <w:bCs/>
        </w:rPr>
        <w:t xml:space="preserve">25</w:t>
      </w:r>
      <w:r>
        <w:t xml:space="preserve">, 581–597 (2022). https://doi.org/10.1111/ele.13898</w:t>
      </w:r>
    </w:p>
    <w:p>
      <w:pPr>
        <w:pStyle w:val="BodyText"/>
      </w:pPr>
      <w:r>
        <w:t xml:space="preserve">Xing, X. et al. Where are the provincial-level new records in China from the past 20 years, and which traits determine their shift directions?</w:t>
      </w:r>
      <w:r>
        <w:t xml:space="preserve"> </w:t>
      </w:r>
      <w:r>
        <w:rPr>
          <w:i/>
          <w:iCs/>
        </w:rPr>
        <w:t xml:space="preserve">Front. Ecol. Evol.</w:t>
      </w:r>
      <w:r>
        <w:t xml:space="preserve"> </w:t>
      </w:r>
      <w:r>
        <w:rPr>
          <w:b/>
          <w:bCs/>
        </w:rPr>
        <w:t xml:space="preserve">12</w:t>
      </w:r>
      <w:r>
        <w:t xml:space="preserve">, 1415268 (2024). https://doi.org/10.3389/fevo.2024.1415268</w:t>
      </w:r>
    </w:p>
    <w:p>
      <w:pPr>
        <w:pStyle w:val="BodyText"/>
      </w:pPr>
      <w:r>
        <w:t xml:space="preserve">Yates, K. L. et al. Outstanding challenges in the transferability of ecological models.</w:t>
      </w:r>
      <w:r>
        <w:t xml:space="preserve"> </w:t>
      </w:r>
      <w:r>
        <w:rPr>
          <w:i/>
          <w:iCs/>
        </w:rPr>
        <w:t xml:space="preserve">Trends Ecol. Evol.</w:t>
      </w:r>
      <w:r>
        <w:t xml:space="preserve"> </w:t>
      </w:r>
      <w:r>
        <w:rPr>
          <w:b/>
          <w:bCs/>
        </w:rPr>
        <w:t xml:space="preserve">33</w:t>
      </w:r>
      <w:r>
        <w:t xml:space="preserve">, 790–802 (2018). https://doi.org/10.1016/j.tree.2018.08.001</w:t>
      </w:r>
    </w:p>
    <w:bookmarkEnd w:id="42"/>
    <w:bookmarkEnd w:id="43"/>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b/>
      <w:color w:val="000000"/>
      <w:sz w:val="26"/>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color w:val="000000"/>
      <w:sz w:val="26"/>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color w:val="000000"/>
      <w:sz w:val="26"/>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color w:val="000000"/>
      <w:sz w:val="26"/>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iCs/>
      <w:color w:val="000000"/>
      <w:sz w:val="26"/>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color w:val="000000"/>
      <w:sz w:val="26"/>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iCs/>
      <w:color w:val="000000"/>
      <w:sz w:val="26"/>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color w:val="000000"/>
      <w:sz w:val="26"/>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iCs/>
      <w:color w:val="000000"/>
      <w:sz w:val="26"/>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2026-10-14T01:35:15Z</dcterms:created>
  <dcterms:modified xsi:type="dcterms:W3CDTF">2026-10-14T01:35:15Z</dcterms:modified>
</cp:coreProperties>
</file>