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c502b76c95cce706441f521e034f330670bfcf"/>
    <w:p>
      <w:pPr>
        <w:pStyle w:val="Heading1"/>
      </w:pPr>
      <w:r>
        <w:t xml:space="preserve">Warming and survey effort contribute comparably to new bird distribution records when dated to discovery</w:t>
      </w:r>
    </w:p>
    <w:p>
      <w:pPr>
        <w:pStyle w:val="FirstParagraph"/>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chenchen.ding@pku.edu.cn</w:t>
      </w:r>
    </w:p>
    <w:bookmarkStart w:id="9" w:name="abstract"/>
    <w:p>
      <w:pPr>
        <w:pStyle w:val="Heading2"/>
      </w:pPr>
      <w:r>
        <w:t xml:space="preserve">Abstract</w:t>
      </w:r>
    </w:p>
    <w:p>
      <w:pPr>
        <w:pStyle w:val="FirstParagraph"/>
      </w:pPr>
      <w:r>
        <w:t xml:space="preserve">New provincial and national distribution records are the raw material from which range shifts are inferred, yet a record is generated only when a species is present, someone is looking, and the observation is written up. Disentangling these components has proved difficult because the ecological and observational processes covary. Here we assemble a complete species × province × year risk set for 1,029 documented new bird records in China (2002–2024) and model the annual hazard that a species is newly recorded in a province using a discrete-time proportional-hazards formulation. We first show that the near-universal practice of dating such records to their year of publication is a systematic source of bias: publication lags the observation by a median of one year and a mean of 2.09 years, 81.7% of records lag by at least one year, and re-dating changes the year of 83.1% of events. Under publication-year dating, survey effort appears to raise the hazard by 79% per standard deviation and annual climate variability appears to suppress it; after re-dating, the effort coefficient falls by 37% and the variability effect vanishes entirely, while the accumulated-warming coefficient is unchanged. In the corrected analysis, accumulated warming relative to a species’ historical range (hazard ratio 1.36 per SD, 95% CI 1.22–1.53) and survey effort (1.43, 1.27–1.61) contribute comparably, and warming in fact discriminates slightly better between event and non-event cells than effort does. The two interact negatively (0.84, 0.75–0.94): warming matters most where survey coverage is sparse. Design-preserving permutation nulls place both effects outside their null distributions (</w:t>
      </w:r>
      <w:r>
        <w:rPr>
          <w:i/>
          <w:iCs/>
        </w:rPr>
        <w:t xml:space="preserve">P</w:t>
      </w:r>
      <w:r>
        <w:t xml:space="preserve"> </w:t>
      </w:r>
      <w:r>
        <w:t xml:space="preserve">= 0.005), but show that the warming null is centred on 1.16 rather than unity, so the increment attributable to species-specific referencing is about 1.18; the effort effect collapses to 0.98 once its temporal alignment with events is broken. A province-by-year random intercept, which isolates the observation process from the ecological one, raises conditional discrimination from 0.72 to 0.85 and conditional</w:t>
      </w:r>
      <w:r>
        <w:t xml:space="preserve"> </w:t>
      </w:r>
      <w:r>
        <w:rPr>
          <w:i/>
          <w:iCs/>
        </w:rPr>
        <w:t xml:space="preserve">R</w:t>
      </w:r>
      <w:r>
        <w:t xml:space="preserve">² from 0.28 to 0.41. Results are unchanged across three species-distribution-model thresholds, four survey-effort proxies, three missing-data rules and four accumulation windows. Projections under CMIP6 scenarios are constrained by a strict support diagnostic: beyond 2030, fewer than one tenth of species-province cells fall inside the fitted covariate range, so we report late-century surfaces as scenario illustrations rather than forecasts. Our results establish that documented range gains in a rapidly warming, rapidly digitising region reflect climate and observation in roughly equal measure, and that the date attached to a record determines which of the two appears to dominate.</w:t>
      </w:r>
    </w:p>
    <w:p>
      <w:pPr>
        <w:pStyle w:val="BodyText"/>
      </w:pPr>
      <w:r>
        <w:rPr>
          <w:b/>
          <w:bCs/>
        </w:rPr>
        <w:t xml:space="preserve">Keywords:</w:t>
      </w:r>
      <w:r>
        <w:t xml:space="preserve"> </w:t>
      </w:r>
      <w:r>
        <w:t xml:space="preserve">Wallacean shortfall; imperfect detection; range shift; discrete-time survival analysis; publication lag; citizen science; climate velocity; China</w:t>
      </w:r>
    </w:p>
    <w:p>
      <w:r>
        <w:pict>
          <v:rect style="width:0;height:1.5pt" o:hralign="center" o:hrstd="t" o:hr="t"/>
        </w:pict>
      </w:r>
    </w:p>
    <w:bookmarkEnd w:id="9"/>
    <w:bookmarkStart w:id="11" w:name="introduction"/>
    <w:p>
      <w:pPr>
        <w:pStyle w:val="Heading2"/>
      </w:pPr>
      <w:r>
        <w:t xml:space="preserve">Introduction</w:t>
      </w:r>
    </w:p>
    <w:p>
      <w:pPr>
        <w:pStyle w:val="FirstParagraph"/>
      </w:pPr>
      <w:r>
        <w:t xml:space="preserve">Documented species distributions are a joint product of where organisms occur and where people look</w:t>
      </w:r>
      <w:r>
        <w:rPr>
          <w:vertAlign w:val="superscript"/>
        </w:rPr>
        <w:t xml:space="preserve">1–4</w:t>
      </w:r>
      <w:r>
        <w:t xml:space="preserve">. This has been recognised for decades, and yet the inferential consequences remain incompletely handled in the literature on climate-driven range shifts</w:t>
      </w:r>
      <w:r>
        <w:rPr>
          <w:vertAlign w:val="superscript"/>
        </w:rPr>
        <w:t xml:space="preserve">5–8</w:t>
      </w:r>
      <w:r>
        <w:t xml:space="preserve">. When a species is reported for the first time from an administrative unit, the record is often read as evidence of range expansion; but the same record is equally consistent with a long-standing population that has only now been detected, or with a stable population in a region whose observer base has recently grown</w:t>
      </w:r>
      <w:r>
        <w:rPr>
          <w:vertAlign w:val="superscript"/>
        </w:rPr>
        <w:t xml:space="preserve">16,19–21</w:t>
      </w:r>
      <w:r>
        <w:t xml:space="preserve">. Distinguishing these possibilities is not a technical nicety. It determines whether a body of records constitutes evidence of biodiversity redistribution or of the filling of the Wallacean shortfall</w:t>
      </w:r>
      <w:r>
        <w:rPr>
          <w:vertAlign w:val="superscript"/>
        </w:rPr>
        <w:t xml:space="preserve">1,2</w:t>
      </w:r>
      <w:r>
        <w:t xml:space="preserve">.</w:t>
      </w:r>
    </w:p>
    <w:p>
      <w:pPr>
        <w:pStyle w:val="BodyText"/>
      </w:pPr>
      <w:r>
        <w:t xml:space="preserve">China offers unusual leverage on this problem. Over the past two decades the country has warmed rapidly while its birdwatching community has expanded from a few thousand to hundreds of thousands of participants, and a national compilation of provincial-level new bird records now exists with dates of discovery as well as of publication</w:t>
      </w:r>
      <w:r>
        <w:rPr>
          <w:vertAlign w:val="superscript"/>
        </w:rPr>
        <w:t xml:space="preserve">9,25,37</w:t>
      </w:r>
      <w:r>
        <w:t xml:space="preserve">. The simultaneous expansion of the climatic and the observational signal is precisely what makes the attribution hard, and precisely what makes a formal risk-set analysis necessary.</w:t>
      </w:r>
    </w:p>
    <w:p>
      <w:pPr>
        <w:pStyle w:val="BodyText"/>
      </w:pPr>
      <w:r>
        <w:t xml:space="preserve">Three specific gaps motivate this study.</w:t>
      </w:r>
    </w:p>
    <w:p>
      <w:pPr>
        <w:pStyle w:val="BodyText"/>
      </w:pPr>
      <w:r>
        <w:rPr>
          <w:b/>
          <w:bCs/>
        </w:rPr>
        <w:t xml:space="preserve">First, the temporal alignment of events has not been examined.</w:t>
      </w:r>
      <w:r>
        <w:t xml:space="preserve"> </w:t>
      </w:r>
      <w:r>
        <w:t xml:space="preserve">Records compiled from the literature carry two dates: when the bird was seen, and when the paper appeared. Almost all analyses of such compilations use the latter, because it is the field that primary sources reliably report. We show below that this choice is consequential. Publication lag is not a small, random offset; it is a right-skewed delay with a mean above two years that, critically, is correlated in aggregate with the growth of the observational infrastructure. Aligning an event to the year of publication therefore aligns it to a year in which the effort database was systematically larger, manufacturing covariance between effort and event occurrence.</w:t>
      </w:r>
    </w:p>
    <w:p>
      <w:pPr>
        <w:pStyle w:val="BodyText"/>
      </w:pPr>
      <w:r>
        <w:rPr>
          <w:b/>
          <w:bCs/>
        </w:rPr>
        <w:t xml:space="preserve">Second, the observation process operates at a spatiotemporal scale that most models do not represent.</w:t>
      </w:r>
      <w:r>
        <w:t xml:space="preserve"> </w:t>
      </w:r>
      <w:r>
        <w:t xml:space="preserve">Regional survey campaigns, provincial birdwatching festivals, new protected areas and local reporting channels act at the level of a particular province in a particular year. A model with species and region random intercepts, the conventional choice</w:t>
      </w:r>
      <w:r>
        <w:rPr>
          <w:vertAlign w:val="superscript"/>
        </w:rPr>
        <w:t xml:space="preserve">55</w:t>
      </w:r>
      <w:r>
        <w:t xml:space="preserve">, cannot absorb this variation; it leaks into the fixed effects and inflates whichever covariate happens to trend with observational capacity.</w:t>
      </w:r>
    </w:p>
    <w:p>
      <w:pPr>
        <w:pStyle w:val="BodyText"/>
      </w:pPr>
      <w:r>
        <w:rPr>
          <w:b/>
          <w:bCs/>
        </w:rPr>
        <w:t xml:space="preserve">Third, projections of future record generation have been made without checking whether the scenarios lie inside the fitted data.</w:t>
      </w:r>
      <w:r>
        <w:t xml:space="preserve"> </w:t>
      </w:r>
      <w:r>
        <w:t xml:space="preserve">Species-specific climate gradients are differences between two anomalies that largely covary, so their historical standard deviation is small. Future warming differentials between a province and a species’ range are not small. The ratio between the two determines how far any projection extrapolates, and this ratio has not been reported.</w:t>
      </w:r>
    </w:p>
    <w:p>
      <w:pPr>
        <w:pStyle w:val="BodyText"/>
      </w:pPr>
      <w:r>
        <w:t xml:space="preserve">Here we address all three. We construct a complete risk set — every species × province × year cell in which a new record could have occurred, with absorbing exit after the first record — and model the annual hazard with a complementary log-log link, the discrete-time analogue of a proportional-hazards model</w:t>
      </w:r>
      <w:r>
        <w:rPr>
          <w:rStyle w:val="FootnoteReference"/>
        </w:rPr>
        <w:footnoteReference w:id="10"/>
      </w:r>
      <w:r>
        <w:t xml:space="preserve">^. We re-date every event to its year of discovery, correct the resulting right-censoring with an explicit reporting-completeness offset, treat structurally implausible zeros in the effort database as coverage gaps rather than true absences of observation, and add a province-by-year random intercept. We then quantify how much each of these corrections matters, using a step-by-step decomposition in which exactly one thing changes at a time.</w:t>
      </w:r>
    </w:p>
    <w:p>
      <w:pPr>
        <w:pStyle w:val="BodyText"/>
      </w:pPr>
      <w:r>
        <w:t xml:space="preserve">We ask three questions. (i) How large is the bias introduced by publication-year dating, and which coefficients does it affect? (ii) Once corrected, what are the relative contributions of accumulated warming and survey effort to the hazard of a new record, and do they interact? (iii) Over what range of future conditions can the fitted relationship legitimately be projected?</w:t>
      </w:r>
    </w:p>
    <w:p>
      <w:pPr>
        <w:pStyle w:val="BodyText"/>
      </w:pPr>
      <w:r>
        <w:t xml:space="preserve">We hypothesised that effort would dominate, as reported previously</w:t>
      </w:r>
      <w:r>
        <w:rPr>
          <w:vertAlign w:val="superscript"/>
        </w:rPr>
        <w:t xml:space="preserve">10,37</w:t>
      </w:r>
      <w:r>
        <w:t xml:space="preserve">, and that the climate signal would be modest. Both expectations proved wrong in an informative way: effort dominance was largely an artefact of dating, and after correction the two drivers are of comparable importance.</w:t>
      </w:r>
    </w:p>
    <w:p>
      <w:r>
        <w:pict>
          <v:rect style="width:0;height:1.5pt" o:hralign="center" o:hrstd="t" o:hr="t"/>
        </w:pict>
      </w:r>
    </w:p>
    <w:bookmarkEnd w:id="11"/>
    <w:bookmarkStart w:id="25" w:name="results"/>
    <w:p>
      <w:pPr>
        <w:pStyle w:val="Heading2"/>
      </w:pPr>
      <w:r>
        <w:t xml:space="preserve">Results</w:t>
      </w:r>
    </w:p>
    <w:bookmarkStart w:id="12" w:name="the-risk-set-and-the-dating-problem"/>
    <w:p>
      <w:pPr>
        <w:pStyle w:val="Heading3"/>
      </w:pPr>
      <w:r>
        <w:t xml:space="preserve">The risk set and the dating problem</w:t>
      </w:r>
    </w:p>
    <w:p>
      <w:pPr>
        <w:pStyle w:val="FirstParagraph"/>
      </w:pPr>
      <w:r>
        <w:t xml:space="preserve">The released compilation contains 1,029 provincial-level new bird records with a parseable discovery date for 1,028 (99.9%). Of these, 684 could be matched to a species × province cell in the candidate pool defined by species-distribution models plus forced inclusion of every observed event; 657 fall within the 2002–2024 analysis window (Extended Data Table 1). Twenty-six records were discovered before 2002 and therefore describe species already present at the start of the window; because such pairs are prevalent rather than incident cases, we removed them from the risk set entirely rather than treating them as censored. Conversely, eleven species × province pairs whose records were published in 2025 but discovered by 2024 re-enter the analysis under discovery-year dating; under publication-year dating they had been lost beyond the window edge.</w:t>
      </w:r>
    </w:p>
    <w:p>
      <w:pPr>
        <w:pStyle w:val="BodyText"/>
      </w:pPr>
      <w:r>
        <w:t xml:space="preserve">Publication lags discovery by a median of one year and a mean of 2.09 years; 81.7% of records lag by at least one year and 26.8% by three or more (Fig. 2a). Re-dating changes the assigned year of 526 of 633 comparable events (83.1%), with a median shift of −1 year and a mean of −1.83 years. The two dating conventions produce qualitatively different time series (Fig. 2b): the publication-year series rises monotonically to 67 events in 2024, whereas the discovery-year series peaks at 59 in 2019 and falls to 14 in 2024. Neither series is a clean description of reality — the publication-year rise is an artefact of aggregating delayed reports, and the discovery-year fall is right-censoring, because records made in 2023–2024 have not yet appeared in print.</w:t>
      </w:r>
    </w:p>
    <w:p>
      <w:pPr>
        <w:pStyle w:val="BodyText"/>
      </w:pPr>
      <w:r>
        <w:t xml:space="preserve">We quantified the censoring directly. The compilation extends to publications appearing in 2025, so a record discovered in year</w:t>
      </w:r>
      <w:r>
        <w:t xml:space="preserve"> </w:t>
      </w:r>
      <w:r>
        <w:rPr>
          <w:i/>
          <w:iCs/>
        </w:rPr>
        <w:t xml:space="preserve">t</w:t>
      </w:r>
      <w:r>
        <w:t xml:space="preserve"> </w:t>
      </w:r>
      <w:r>
        <w:t xml:space="preserve">can only have been observed if its lag is at most 2025 −</w:t>
      </w:r>
      <w:r>
        <w:t xml:space="preserve"> </w:t>
      </w:r>
      <w:r>
        <w:rPr>
          <w:i/>
          <w:iCs/>
        </w:rPr>
        <w:t xml:space="preserve">t</w:t>
      </w:r>
      <w:r>
        <w:t xml:space="preserve">. Using the pooled empirical lag distribution, the expected share of discoveries already reported falls from 99.7% for 2002 to 89.5% for 2021, 83.4% for 2022, 73.2% for 2023 and 56.7% for 2024. The pooled distribution is justified because publication lag is stationary over the study period (Spearman correlation between discovery year and lag ρ = −0.016,</w:t>
      </w:r>
      <w:r>
        <w:t xml:space="preserve"> </w:t>
      </w:r>
      <w:r>
        <w:rPr>
          <w:i/>
          <w:iCs/>
        </w:rPr>
        <w:t xml:space="preserve">P</w:t>
      </w:r>
      <w:r>
        <w:t xml:space="preserve"> </w:t>
      </w:r>
      <w:r>
        <w:t xml:space="preserve">= 0.685; Wilcoxon comparison of 2002–2010 with 2011–2018</w:t>
      </w:r>
      <w:r>
        <w:t xml:space="preserve"> </w:t>
      </w:r>
      <w:r>
        <w:rPr>
          <w:i/>
          <w:iCs/>
        </w:rPr>
        <w:t xml:space="preserve">P</w:t>
      </w:r>
      <w:r>
        <w:t xml:space="preserve"> </w:t>
      </w:r>
      <w:r>
        <w:t xml:space="preserve">= 0.851; cumulative distributions differ by at most three percentage points at every lag). Because the observed hazard under incomplete reporting is approximately the product of the true hazard and the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the linear predictor exactly as an offset log</w:t>
      </w:r>
      <w:r>
        <w:t xml:space="preserve"> </w:t>
      </w:r>
      <w:r>
        <w:rPr>
          <w:i/>
          <w:iCs/>
        </w:rPr>
        <w:t xml:space="preserve">c</w:t>
      </w:r>
      <w:r>
        <w:t xml:space="preserve">(</w:t>
      </w:r>
      <w:r>
        <w:rPr>
          <w:i/>
          <w:iCs/>
        </w:rPr>
        <w:t xml:space="preserve">t</w:t>
      </w:r>
      <w:r>
        <w:t xml:space="preserve">). We include this offset throughout.</w:t>
      </w:r>
    </w:p>
    <w:p>
      <w:pPr>
        <w:pStyle w:val="BodyText"/>
      </w:pPr>
      <w:r>
        <w:t xml:space="preserve">The final risk set at the 50-cell species-distribution-model threshold comprises 8,319 species × province pairs, 185,478 species-province-years and 657 events. After requiring non-missing effort and climate components, the modelling data contain 175,640 rows, 649 events, 392 species and 31 provincial units.</w:t>
      </w:r>
    </w:p>
    <w:bookmarkEnd w:id="12"/>
    <w:bookmarkStart w:id="13"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changing exactly one thing at each (Fig. 2c; Table 1).</w:t>
      </w:r>
    </w:p>
    <w:p>
      <w:pPr>
        <w:pStyle w:val="BodyText"/>
      </w:pPr>
      <w:r>
        <w:t xml:space="preserve">Re-dating alone moves the survey-effort hazard ratio from 1.788 to 1.309, a reduction of 37% in the excess hazard,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is essentially untouched (1.394 → 1.440), as is the interaction (0.876 → 0.852). The remaining corrections are comparatively minor: treating structural zeros in the effort database as coverage gaps moves effort by −0.038; area-weighting the provincial climate series moves it by +0.029; the completeness offset restores +0.167, recovering signal that right-censoring had attenuated; and the province-by-year random intercept removes a further 0.038.</w:t>
      </w:r>
    </w:p>
    <w:p>
      <w:pPr>
        <w:pStyle w:val="BodyText"/>
      </w:pPr>
      <w:r>
        <w:t xml:space="preserve">The mechanism is transparent. Publication year and the size of the observational database both increase through time, so assigning an event to its publication year places it in a cell whose recorded effort is systematically higher than the effort that actually generated the observation. This inflates the effort coefficient. It also decorrelates the event from the weather of the year in which the bird was actually seen, which is why a spurious negative coefficient on annual climate variability appears under publication-year dating and disappears under discovery-year dating. Accumulated warming, being a fifteen-year trailing mean, is robust to a shift of one or two years — which is exactly why it survives the correction unchanged.</w:t>
      </w:r>
    </w:p>
    <w:bookmarkEnd w:id="13"/>
    <w:bookmarkStart w:id="14"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 1a; Table 2). One standard deviation of accumulated warming relative to a species’ historical range multiplies the annual hazard by 1.365 (95% CI 1.219–1.528;</w:t>
      </w:r>
      <w:r>
        <w:t xml:space="preserve"> </w:t>
      </w:r>
      <w:r>
        <w:rPr>
          <w:i/>
          <w:iCs/>
        </w:rPr>
        <w:t xml:space="preserve">P</w:t>
      </w:r>
      <w:r>
        <w:t xml:space="preserve"> </w:t>
      </w:r>
      <w:r>
        <w:t xml:space="preserve">= 7.2 × 10⁻⁸); one standard deviation of survey effort multiplies it by 1.429 (1.268–1.611;</w:t>
      </w:r>
      <w:r>
        <w:t xml:space="preserve"> </w:t>
      </w:r>
      <w:r>
        <w:rPr>
          <w:i/>
          <w:iCs/>
        </w:rPr>
        <w:t xml:space="preserve">P</w:t>
      </w:r>
      <w:r>
        <w:t xml:space="preserve"> </w:t>
      </w:r>
      <w:r>
        <w:t xml:space="preserve">= 4.9 × 10⁻⁹). Annual climate variability has no effect (0.995, 0.908–1.089;</w:t>
      </w:r>
      <w:r>
        <w:t xml:space="preserve"> </w:t>
      </w:r>
      <w:r>
        <w:rPr>
          <w:i/>
          <w:iCs/>
        </w:rPr>
        <w:t xml:space="preserve">P</w:t>
      </w:r>
      <w:r>
        <w:t xml:space="preserve"> </w:t>
      </w:r>
      <w:r>
        <w:t xml:space="preserve">= 0.91). The two main effects interact negatively (0.839, 0.752–0.936;</w:t>
      </w:r>
      <w:r>
        <w:t xml:space="preserve"> </w:t>
      </w:r>
      <w:r>
        <w:rPr>
          <w:i/>
          <w:iCs/>
        </w:rPr>
        <w:t xml:space="preserve">P</w:t>
      </w:r>
      <w:r>
        <w:t xml:space="preserve"> </w:t>
      </w:r>
      <w:r>
        <w:t xml:space="preserve">= 1.7 × 10⁻³): the marginal effect of warming is steepest where effort is low and flattens where coverage is already dense (Fig. 1b).</w:t>
      </w:r>
    </w:p>
    <w:p>
      <w:pPr>
        <w:pStyle w:val="BodyText"/>
      </w:pPr>
      <w:r>
        <w:t xml:space="preserve">Two qualifications follow from the resampling analyses described below and should be carried through any reading of these effect sizes. First, the reference point for the warming coefficient is not unity. Permuting accumulated warming among species within a province-year, or permuting the event indicator among the species at risk in a province-year, still returns a hazard ratio of about 1.16, because both permutations preserve the covariance between provincial-annual climate and provincial-annual event counts. The observed 1.365 lies outside that null distribution (</w:t>
      </w:r>
      <w:r>
        <w:rPr>
          <w:i/>
          <w:iCs/>
        </w:rPr>
        <w:t xml:space="preserve">P</w:t>
      </w:r>
      <w:r>
        <w:t xml:space="preserve"> </w:t>
      </w:r>
      <w:r>
        <w:t xml:space="preserve">= 0.005 in both cases), but the increment attributable to the species-specific referencing is 1.365/1.161 ≈ 1.18 rather than 1.36; the remainder is a structural baseline shared with the null. The effort coefficient behaves differently: permuting effort across years within a province collapses it to 0.979, with the null 95% interval covering unity, so it derives from the temporal alignment of effort and events rather than from any cross-sectional contrast between well- and poorly surveyed provinces. Second, the Wald intervals are slightly narrow with respect to provincial clustering. A cluster bootstrap resampling provinces widens them to 1.20–1.72 for warming and 1.24–1.78 for effort; both lower bounds still exceed unity, and the interaction remains bounded away from it (0.73–0.99). Resampling species instead leaves the intervals essentially unchanged, so the species-level clustering is already absorbed by the random effects.</w:t>
      </w:r>
    </w:p>
    <w:p>
      <w:pPr>
        <w:pStyle w:val="BodyText"/>
      </w:pPr>
      <w:r>
        <w:t xml:space="preserve">Because standardised coefficients are hard to picture, we report both in natural units (Fig. 5c). One standard deviation of accumulated warming is</w:t>
      </w:r>
      <w:r>
        <w:t xml:space="preserve"> </w:t>
      </w:r>
      <w:r>
        <w:rPr>
          <w:b/>
          <w:bCs/>
        </w:rPr>
        <w:t xml:space="preserve">0.179 °C</w:t>
      </w:r>
      <w:r>
        <w:t xml:space="preserve">: a province that has warmed by that much more than a species’ own historical Chinese range carries a 36% higher annual hazard for that species. Across the observed range of the variable, −0.65 °C to +0.61 °C, the implied hazard spans roughly ninefold. One standard deviation of survey effort corresponds to a</w:t>
      </w:r>
      <w:r>
        <w:t xml:space="preserve"> </w:t>
      </w:r>
      <w:r>
        <w:rPr>
          <w:b/>
          <w:bCs/>
        </w:rPr>
        <w:t xml:space="preserve">7.89-fold</w:t>
      </w:r>
      <w:r>
        <w:t xml:space="preserve"> </w:t>
      </w:r>
      <w:r>
        <w:t xml:space="preserve">increase in annual provincial visits, from a median of 60.5 visits per year to about 478. The sign of the climate variable is also informative: a negative value means the province has warmed</w:t>
      </w:r>
      <w:r>
        <w:t xml:space="preserve"> </w:t>
      </w:r>
      <w:r>
        <w:rPr>
          <w:i/>
          <w:iCs/>
        </w:rPr>
        <w:t xml:space="preserve">less</w:t>
      </w:r>
      <w:r>
        <w:t xml:space="preserve"> </w:t>
      </w:r>
      <w:r>
        <w:t xml:space="preserve">than the species’ range, and such cells carry a correspondingly lower hazard.</w:t>
      </w:r>
    </w:p>
    <w:p>
      <w:pPr>
        <w:pStyle w:val="BodyText"/>
      </w:pPr>
      <w:r>
        <w:t xml:space="preserve">The climate variable is genuinely species-specific, not a relabelled regional index (Fig. 5a, b). Decomposing its variance, 39% of the variation in accumulated warming and 55% of the variation in the raw gradient arise</w:t>
      </w:r>
      <w:r>
        <w:t xml:space="preserve"> </w:t>
      </w:r>
      <w:r>
        <w:rPr>
          <w:i/>
          <w:iCs/>
        </w:rPr>
        <w:t xml:space="preserve">within</w:t>
      </w:r>
      <w:r>
        <w:t xml:space="preserve"> </w:t>
      </w:r>
      <w:r>
        <w:t xml:space="preserve">province-years, that is, purely from differences among species. In Yunnan in 2020, for example,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cannot make that distinction and therefore cannot say which species should appear where.</w:t>
      </w:r>
    </w:p>
    <w:p>
      <w:pPr>
        <w:pStyle w:val="BodyText"/>
      </w:pPr>
      <w:r>
        <w:t xml:space="preserve">Four independent importance criteria agree that warming and effort are of comparable weight, with warming slightly ahead on discrimination (Fig. 1c). Dropping accumulated warming costs 29.9 AIC units and 0.053 of marginal AUC; dropping survey effort costs 33.4 AIC units and 0.033 of marginal AUC. The interaction costs 7.8 AIC units. Annual variability costs −2.0 AIC units, that is, the model is marginally better without it; we retain it because it is one half of a pre-specified decomposition and its null result is itself informative.</w:t>
      </w:r>
    </w:p>
    <w:p>
      <w:pPr>
        <w:pStyle w:val="BodyText"/>
      </w:pPr>
      <w:r>
        <w:t xml:space="preserve">The discrimination ladder makes the point most directly (Fig. 1d). With the random structure held at the main model, fixed-effect-only AUC rises from 0.410 for the null model to 0.559 with effort alone, 0.580 with accumulated warming alone, and 0.610 with both. Climate alone discriminates better than effort alone; neither alone approaches the pair. This is a different conclusion from the one reached under publication-year dating, where effort dominated.</w:t>
      </w:r>
    </w:p>
    <w:bookmarkEnd w:id="14"/>
    <w:bookmarkStart w:id="15"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rather than AIC alone (Fig. 4; Table 3). Adding a province-by-year intercept to the conventional species + province structure improves AIC by 92.1 units, raises conditional</w:t>
      </w:r>
      <w:r>
        <w:t xml:space="preserve"> </w:t>
      </w:r>
      <w:r>
        <w:rPr>
          <w:i/>
          <w:iCs/>
        </w:rPr>
        <w:t xml:space="preserve">R</w:t>
      </w:r>
      <w:r>
        <w:t xml:space="preserve">² from 0.279 to 0.413, raises conditional AUC from 0.722 to 0.853, and raises the intraclass correlation from 0.172 to 0.356. Crucially, marginal AUC — the discrimination attributable to fixed effects — is flat across all six structures (0.611–0.614), confirming that the random structure absorbs observational heterogeneity without redistributing the fixed-effect signal.</w:t>
      </w:r>
    </w:p>
    <w:p>
      <w:pPr>
        <w:pStyle w:val="BodyText"/>
      </w:pPr>
      <w:r>
        <w:t xml:space="preserve">Two further structures were tested. A species-specific random slope on accumulated warming (ΔAIC 2.6 relative to the best) and a province-specific random slope on effort (ΔAIC 0.0, the AIC optimum) both fit marginally better, but both</w:t>
      </w:r>
      <w:r>
        <w:t xml:space="preserve"> </w:t>
      </w:r>
      <w:r>
        <w:rPr>
          <w:i/>
          <w:iCs/>
        </w:rPr>
        <w:t xml:space="preserve">reduce</w:t>
      </w:r>
      <w:r>
        <w:t xml:space="preserve"> </w:t>
      </w:r>
      <w:r>
        <w:t xml:space="preserve">conditional</w:t>
      </w:r>
      <w:r>
        <w:t xml:space="preserve"> </w:t>
      </w:r>
      <w:r>
        <w:rPr>
          <w:i/>
          <w:iCs/>
        </w:rPr>
        <w:t xml:space="preserve">R</w:t>
      </w:r>
      <w:r>
        <w:t xml:space="preserve">² (0.405 and 0.400 respectively, against 0.413 for the simpler structure), and their fixed effects are indistinguishable from those of the main model (effort 1.422 and 1.404; warming 1.351 and 1.368). We therefore freeze the three-level intercept structure as the sole main model: it is the most parsimonious of the three statistically indistinguishable options, it has the highest explanatory power, and every one of its terms has a direct ecological or observational reading — intrinsic species detectability, regional survey context, and the province-year shocks through which surveys, festivals and reporting channels actually operate. No variance component collapses in any structure (minimum standard deviation 0.272).</w:t>
      </w:r>
    </w:p>
    <w:bookmarkEnd w:id="15"/>
    <w:bookmarkStart w:id="16" w:name="Xe16357c9ebf971559ca89fe8eb908e744dbb52f"/>
    <w:p>
      <w:pPr>
        <w:pStyle w:val="Heading3"/>
      </w:pPr>
      <w:r>
        <w:t xml:space="preserve">What each level of the model means, and why it is there</w:t>
      </w:r>
    </w:p>
    <w:p>
      <w:pPr>
        <w:pStyle w:val="FirstParagraph"/>
      </w:pPr>
      <w:r>
        <w:t xml:space="preserve">Each random term corresponds to a distinct process, and the fitted magnitudes are themselves results (Fig. 5d, Fig. 6; Table 5).</w:t>
      </w:r>
    </w:p>
    <w:p>
      <w:pPr>
        <w:pStyle w:val="BodyText"/>
      </w:pPr>
      <w:r>
        <w:rPr>
          <w:i/>
          <w:iCs/>
        </w:rPr>
        <w:t xml:space="preserve">Species (SD 0.404).</w:t>
      </w:r>
      <w:r>
        <w:t xml:space="preserve"> </w:t>
      </w:r>
      <w:r>
        <w:t xml:space="preserve">Species differ in intrinsic detectability for reasons no covariate in the model captures: body size, song conspicuousness, habitat accessibility, population density and taxonomic attention. One standard deviation multiplies the hazard by 1.50, and the fitted species span a 3.7-fold range. Grouping the species intercepts by migratory strategy shows overlapping distributions with a modestly higher median for partial migrants than for residents or long-distance migrants (Fig. 6a), consistent with partial migrants combining range-edge mobility with the year-round observability that long-distance migrants lack.</w:t>
      </w:r>
    </w:p>
    <w:p>
      <w:pPr>
        <w:pStyle w:val="BodyText"/>
      </w:pPr>
      <w:r>
        <w:rPr>
          <w:i/>
          <w:iCs/>
        </w:rPr>
        <w:t xml:space="preserve">Province (SD 0.332).</w:t>
      </w:r>
      <w:r>
        <w:t xml:space="preserve"> </w:t>
      </w:r>
      <w:r>
        <w:t xml:space="preserve">Provinces differ in their baseline setting for discovery — area, terrain complexity, habitat diversity, observer population and regional research tradition. One standard deviation multiplies the hazard by 1.39 (Fig. 6b).</w:t>
      </w:r>
    </w:p>
    <w:p>
      <w:pPr>
        <w:pStyle w:val="BodyText"/>
      </w:pPr>
      <w:r>
        <w:rPr>
          <w:i/>
          <w:iCs/>
        </w:rPr>
        <w:t xml:space="preserve">Province by year (SD 0.798).</w:t>
      </w:r>
      <w:r>
        <w:t xml:space="preserve"> </w:t>
      </w:r>
      <w:r>
        <w:t xml:space="preserve">This is the single largest variance component in the model, and it is the reason the level was added. One standard deviation multiplies the hazard by 2.23 — more than either fixed effect — and the fitted levels span a thirteenfold range (Fig. 6c). Ecologically it represents the scale at which the observation process actually operates: a regional survey campaign, a provincial birding festival, a newly established protected area, or a new local reporting channel raises the documentation rate for one province in one year. Because such shocks are not shared nationally, a model with only species and province intercepts cannot absorb them, and they leak into whichever fixed effect trends with observational capacity. The magnitude of this component is the quantitative expression of the paper’s central caution: the biodiversity record moves for reasons that have nothing to do with the birds.</w:t>
      </w:r>
    </w:p>
    <w:p>
      <w:pPr>
        <w:pStyle w:val="BodyText"/>
      </w:pPr>
      <w:r>
        <w:rPr>
          <w:i/>
          <w:iCs/>
        </w:rPr>
        <w:t xml:space="preserve">Reporting completeness offset.</w:t>
      </w:r>
      <w:r>
        <w:t xml:space="preserve"> </w:t>
      </w:r>
      <w:r>
        <w:t xml:space="preserve">Not a free parameter but a known correction, so it consumes no degrees of freedom. Omitting it attenuates the effort coefficient from 1.404 to 1.264, because censoring is concentrated in the recent, high-effort years.</w:t>
      </w:r>
    </w:p>
    <w:bookmarkEnd w:id="16"/>
    <w:bookmarkStart w:id="17" w:name="Xf38245127daa17f58c79a23a62853ee4cbb15cc"/>
    <w:p>
      <w:pPr>
        <w:pStyle w:val="Heading3"/>
      </w:pPr>
      <w:r>
        <w:t xml:space="preserve">Migratory strategy shifts the baseline, not the drivers</w:t>
      </w:r>
    </w:p>
    <w:p>
      <w:pPr>
        <w:pStyle w:val="FirstParagraph"/>
      </w:pPr>
      <w:r>
        <w:t xml:space="preserve">New provincial records could plausibly arise by different routes in different migratory</w:t>
      </w:r>
      <w:r>
        <w:t xml:space="preserve"> </w:t>
      </w:r>
      <w:r>
        <w:t xml:space="preserve">strategies. Residents disperse slowly, so a first record should more often mark a genuine</w:t>
      </w:r>
      <w:r>
        <w:t xml:space="preserve"> </w:t>
      </w:r>
      <w:r>
        <w:t xml:space="preserve">boundary shift. Long-distance migrants are highly mobile and can appear far outside their range</w:t>
      </w:r>
      <w:r>
        <w:t xml:space="preserve"> </w:t>
      </w:r>
      <w:r>
        <w:t xml:space="preserve">as vagrants or storm-displaced individuals, processes driven by navigation error and weather</w:t>
      </w:r>
      <w:r>
        <w:t xml:space="preserve"> </w:t>
      </w:r>
      <w:r>
        <w:t xml:space="preserve">rather than by decadal warming at the destination, and they are visible only on passage. We</w:t>
      </w:r>
      <w:r>
        <w:t xml:space="preserve"> </w:t>
      </w:r>
      <w:r>
        <w:t xml:space="preserve">therefore tested whether migratory strategy moderates either driver (Fig. 8; Table 6).</w:t>
      </w:r>
    </w:p>
    <w:p>
      <w:pPr>
        <w:pStyle w:val="BodyText"/>
      </w:pPr>
      <w:r>
        <w:t xml:space="preserve">The analysis uses the three groups with a known strategy — 137 resident, 72 partial-migrant and</w:t>
      </w:r>
      <w:r>
        <w:t xml:space="preserve"> </w:t>
      </w:r>
      <w:r>
        <w:t xml:space="preserve">107 long-distance-migrant species, carrying 218, 156 and 175 events respectively. Species whose</w:t>
      </w:r>
      <w:r>
        <w:t xml:space="preserve"> </w:t>
      </w:r>
      <w:r>
        <w:t xml:space="preserve">strategy is unrecorded are excluded rather than treated as a fourth category: their event rate is</w:t>
      </w:r>
      <w:r>
        <w:t xml:space="preserve"> </w:t>
      </w:r>
      <w:r>
        <w:t xml:space="preserve">0.791% against 0.29–0.42% in the other groups, and they hold a third as many risk-set rows per</w:t>
      </w:r>
      <w:r>
        <w:t xml:space="preserve"> </w:t>
      </w:r>
      <w:r>
        <w:t xml:space="preserve">species, because a species without trait data entered the candidate pool only by virtue of having</w:t>
      </w:r>
      <w:r>
        <w:t xml:space="preserve"> </w:t>
      </w:r>
      <w:r>
        <w:t xml:space="preserve">a record. That is a selection artefact, not an ecological class.</w:t>
      </w:r>
    </w:p>
    <w:p>
      <w:pPr>
        <w:pStyle w:val="BodyText"/>
      </w:pPr>
      <w:r>
        <w:t xml:space="preserve">Migratory strategy shifts the baseline hazard: adding it as a main effect improves fit</w:t>
      </w:r>
      <w:r>
        <w:t xml:space="preserve"> </w:t>
      </w:r>
      <w:r>
        <w:t xml:space="preserve">(ΔAIC 6.2 relative to the model without it) and is the best model in the ladder. It does not,</w:t>
      </w:r>
      <w:r>
        <w:t xml:space="preserve"> </w:t>
      </w:r>
      <w:r>
        <w:t xml:space="preserve">however, moderate either driver. Adding warming × strategy, effort × strategy, both, or the full</w:t>
      </w:r>
      <w:r>
        <w:t xml:space="preserve"> </w:t>
      </w:r>
      <w:r>
        <w:t xml:space="preserve">three-way warming × effort × strategy each</w:t>
      </w:r>
      <w:r>
        <w:t xml:space="preserve"> </w:t>
      </w:r>
      <w:r>
        <w:rPr>
          <w:i/>
          <w:iCs/>
        </w:rPr>
        <w:t xml:space="preserve">worsens</w:t>
      </w:r>
      <w:r>
        <w:t xml:space="preserve"> </w:t>
      </w:r>
      <w:r>
        <w:t xml:space="preserve">AIC, and none is supported by a</w:t>
      </w:r>
      <w:r>
        <w:t xml:space="preserve"> </w:t>
      </w:r>
      <w:r>
        <w:t xml:space="preserve">likelihood-ratio test (</w:t>
      </w:r>
      <w:r>
        <w:rPr>
          <w:i/>
          <w:iCs/>
        </w:rPr>
        <w:t xml:space="preserve">P</w:t>
      </w:r>
      <w:r>
        <w:t xml:space="preserve"> </w:t>
      </w:r>
      <w:r>
        <w:t xml:space="preserve">= 0.692, 0.638, 0.792 and 0.260 respectively).</w:t>
      </w:r>
    </w:p>
    <w:p>
      <w:pPr>
        <w:pStyle w:val="BodyText"/>
      </w:pPr>
      <w:r>
        <w:t xml:space="preserve">Fitting each group separately gives the same picture (Fig. 8b). Accumulated warming raises the</w:t>
      </w:r>
      <w:r>
        <w:t xml:space="preserve"> </w:t>
      </w:r>
      <w:r>
        <w:t xml:space="preserve">hazard in every group — 1.363 (95% CI 1.158–1.605) in residents, 1.507 (1.244–1.826) in partial</w:t>
      </w:r>
      <w:r>
        <w:t xml:space="preserve"> </w:t>
      </w:r>
      <w:r>
        <w:t xml:space="preserve">migrants and 1.514 (1.265–1.812) in long-distance migrants — and so does survey effort, at 1.293,</w:t>
      </w:r>
      <w:r>
        <w:t xml:space="preserve"> </w:t>
      </w:r>
      <w:r>
        <w:t xml:space="preserve">1.270 and 1.344. The confidence intervals overlap almost completely, as the formal tests imply.</w:t>
      </w:r>
      <w:r>
        <w:t xml:space="preserve"> </w:t>
      </w:r>
      <w:r>
        <w:t xml:space="preserve">Our prior expectation that warming would matter least for long-distance migrants was not borne</w:t>
      </w:r>
      <w:r>
        <w:t xml:space="preserve"> </w:t>
      </w:r>
      <w:r>
        <w:t xml:space="preserve">out: their point estimate is the highest of the three, though indistinguishable from the others.</w:t>
      </w:r>
      <w:r>
        <w:t xml:space="preserve"> </w:t>
      </w:r>
      <w:r>
        <w:t xml:space="preserve">The stratified fits use a reduced random structure of species and province intercepts, because</w:t>
      </w:r>
      <w:r>
        <w:t xml:space="preserve"> </w:t>
      </w:r>
      <w:r>
        <w:t xml:space="preserve">688 province-year levels are not identifiable from 156–218 events; the ladder, which uses all 549</w:t>
      </w:r>
      <w:r>
        <w:t xml:space="preserve"> </w:t>
      </w:r>
      <w:r>
        <w:t xml:space="preserve">events, retains the full structure.</w:t>
      </w:r>
    </w:p>
    <w:p>
      <w:pPr>
        <w:pStyle w:val="BodyText"/>
      </w:pPr>
      <w:r>
        <w:t xml:space="preserve">One pattern is worth flagging without claiming it. The warming × effort interaction is confined to</w:t>
      </w:r>
      <w:r>
        <w:t xml:space="preserve"> </w:t>
      </w:r>
      <w:r>
        <w:t xml:space="preserve">long-distance migrants (0.752, 0.627–0.902,</w:t>
      </w:r>
      <w:r>
        <w:t xml:space="preserve"> </w:t>
      </w:r>
      <w:r>
        <w:rPr>
          <w:i/>
          <w:iCs/>
        </w:rPr>
        <w:t xml:space="preserve">P</w:t>
      </w:r>
      <w:r>
        <w:t xml:space="preserve"> </w:t>
      </w:r>
      <w:r>
        <w:t xml:space="preserve">= 0.0022) and is absent in residents (0.942,</w:t>
      </w:r>
      <w:r>
        <w:t xml:space="preserve"> </w:t>
      </w:r>
      <w:r>
        <w:rPr>
          <w:i/>
          <w:iCs/>
        </w:rPr>
        <w:t xml:space="preserve">P</w:t>
      </w:r>
      <w:r>
        <w:t xml:space="preserve"> </w:t>
      </w:r>
      <w:r>
        <w:t xml:space="preserve">= 0.54) and partial migrants (1.029,</w:t>
      </w:r>
      <w:r>
        <w:t xml:space="preserve"> </w:t>
      </w:r>
      <w:r>
        <w:rPr>
          <w:i/>
          <w:iCs/>
        </w:rPr>
        <w:t xml:space="preserve">P</w:t>
      </w:r>
      <w:r>
        <w:t xml:space="preserve"> </w:t>
      </w:r>
      <w:r>
        <w:t xml:space="preserve">= 0.78). But the test that matters for this claim is</w:t>
      </w:r>
      <w:r>
        <w:t xml:space="preserve"> </w:t>
      </w:r>
      <w:r>
        <w:t xml:space="preserve">whether the groups differ, and it is not significant: the three-way likelihood-ratio test gives</w:t>
      </w:r>
      <w:r>
        <w:t xml:space="preserve"> </w:t>
      </w:r>
      <w:r>
        <w:rPr>
          <w:i/>
          <w:iCs/>
        </w:rPr>
        <w:t xml:space="preserve">P</w:t>
      </w:r>
      <w:r>
        <w:t xml:space="preserve"> </w:t>
      </w:r>
      <w:r>
        <w:t xml:space="preserve">= 0.256 and the long-distance-versus-resident contrast</w:t>
      </w:r>
      <w:r>
        <w:t xml:space="preserve"> </w:t>
      </w:r>
      <w:r>
        <w:rPr>
          <w:i/>
          <w:iCs/>
        </w:rPr>
        <w:t xml:space="preserve">P</w:t>
      </w:r>
      <w:r>
        <w:t xml:space="preserve"> </w:t>
      </w:r>
      <w:r>
        <w:t xml:space="preserve">= 0.079. With at most 218 events per</w:t>
      </w:r>
      <w:r>
        <w:t xml:space="preserve"> </w:t>
      </w:r>
      <w:r>
        <w:t xml:space="preserve">group the design cannot resolve group differences in an interaction term, so we report this as a</w:t>
      </w:r>
      <w:r>
        <w:t xml:space="preserve"> </w:t>
      </w:r>
      <w:r>
        <w:t xml:space="preserve">hypothesis for a larger compilation rather than as a result (Fig. 8d).</w:t>
      </w:r>
    </w:p>
    <w:bookmarkEnd w:id="17"/>
    <w:bookmarkStart w:id="18" w:name="which-species-and-which-provinces"/>
    <w:p>
      <w:pPr>
        <w:pStyle w:val="Heading3"/>
      </w:pPr>
      <w:r>
        <w:t xml:space="preserve">Which species, and which provinces</w:t>
      </w:r>
    </w:p>
    <w:p>
      <w:pPr>
        <w:pStyle w:val="FirstParagraph"/>
      </w:pPr>
      <w:r>
        <w:t xml:space="preserve">The hazard model asks what governs the risk that a given species is recorded in a given province</w:t>
      </w:r>
      <w:r>
        <w:t xml:space="preserve"> </w:t>
      </w:r>
      <w:r>
        <w:t xml:space="preserve">in a given year. Two complementary questions operate at coarser levels: which species are more</w:t>
      </w:r>
      <w:r>
        <w:t xml:space="preserve"> </w:t>
      </w:r>
      <w:r>
        <w:t xml:space="preserve">likely to yield a new provincial record at all, and which provinces accumulate more of them. We</w:t>
      </w:r>
      <w:r>
        <w:t xml:space="preserve"> </w:t>
      </w:r>
      <w:r>
        <w:t xml:space="preserve">address both following the framework of the companion mammal study, adapted to birds</w:t>
      </w:r>
      <w:r>
        <w:t xml:space="preserve"> </w:t>
      </w:r>
      <w:r>
        <w:t xml:space="preserve">(Figs 9, 10; Tables 7, 8).</w:t>
      </w:r>
    </w:p>
    <w:p>
      <w:pPr>
        <w:pStyle w:val="BodyText"/>
      </w:pPr>
      <w:r>
        <w:rPr>
          <w:i/>
          <w:iCs/>
        </w:rPr>
        <w:t xml:space="preserve">Species level.</w:t>
      </w:r>
      <w:r>
        <w:t xml:space="preserve"> </w:t>
      </w:r>
      <w:r>
        <w:t xml:space="preserve">The pool is the 1,445 Chinese bird species of the national ecological trait</w:t>
      </w:r>
      <w:r>
        <w:t xml:space="preserve"> </w:t>
      </w:r>
      <w:r>
        <w:t xml:space="preserve">database, of which 1,312 match the dated Clements phylogeny and 361 acquired at least one new</w:t>
      </w:r>
      <w:r>
        <w:t xml:space="preserve"> </w:t>
      </w:r>
      <w:r>
        <w:t xml:space="preserve">provincial record; these carry 636 of the 657 events, the remainder belonging to 13 species that</w:t>
      </w:r>
      <w:r>
        <w:t xml:space="preserve"> </w:t>
      </w:r>
      <w:r>
        <w:t xml:space="preserve">are post-2022 taxonomic splits absent from the pool. Traits come from three sources in order of</w:t>
      </w:r>
      <w:r>
        <w:t xml:space="preserve"> </w:t>
      </w:r>
      <w:r>
        <w:t xml:space="preserve">precedence: the Chinese database for body mass, morphometrics, multi-category diet, clutch size,</w:t>
      </w:r>
      <w:r>
        <w:t xml:space="preserve"> </w:t>
      </w:r>
      <w:r>
        <w:t xml:space="preserve">nest type and site, flocking, migratory status and endemism; BIRDBASE for habitat breadth (the</w:t>
      </w:r>
      <w:r>
        <w:t xml:space="preserve"> </w:t>
      </w:r>
      <w:r>
        <w:t xml:space="preserve">number of major habitats used), diet breadth (the number of major food types consumed) and IUCN</w:t>
      </w:r>
      <w:r>
        <w:t xml:space="preserve"> </w:t>
      </w:r>
      <w:r>
        <w:t xml:space="preserve">status; and AVONET for the hand-wing index and global range area. Phylogenetic non-independence</w:t>
      </w:r>
      <w:r>
        <w:t xml:space="preserve"> </w:t>
      </w:r>
      <w:r>
        <w:t xml:space="preserve">is handled with the tree itself, using phylogenetic logistic regression (Ives &amp; Garland,</w:t>
      </w:r>
      <w:r>
        <w:t xml:space="preserve"> </w:t>
      </w:r>
      <w:r>
        <w:t xml:space="preserve">estimated α = 0.60), with taxonomic nesting and phylogenetic eigenvector regression as coarser</w:t>
      </w:r>
      <w:r>
        <w:t xml:space="preserve"> </w:t>
      </w:r>
      <w:r>
        <w:t xml:space="preserve">alternatives to confirm that nothing depends on the choice.</w:t>
      </w:r>
    </w:p>
    <w:p>
      <w:pPr>
        <w:pStyle w:val="BodyText"/>
      </w:pPr>
      <w:r>
        <w:t xml:space="preserve">Two effects hold under all three treatments (Fig. 9a, b, d). Partial migrants are about twice as</w:t>
      </w:r>
      <w:r>
        <w:t xml:space="preserve"> </w:t>
      </w:r>
      <w:r>
        <w:t xml:space="preserve">likely as residents to yield a new provincial record (odds ratio 1.89–2.50 across treatments, all</w:t>
      </w:r>
      <w:r>
        <w:t xml:space="preserve"> </w:t>
      </w:r>
      <w:r>
        <w:rPr>
          <w:i/>
          <w:iCs/>
        </w:rPr>
        <w:t xml:space="preserve">P</w:t>
      </w:r>
      <w:r>
        <w:t xml:space="preserve"> </w:t>
      </w:r>
      <w:r>
        <w:t xml:space="preserve">&lt; 0.001), and range size raises the odds by 1.23–1.46 per standard deviation. This converges</w:t>
      </w:r>
      <w:r>
        <w:t xml:space="preserve"> </w:t>
      </w:r>
      <w:r>
        <w:t xml:space="preserve">with the hazard model from a different direction: partial migrants also carry the highest raw</w:t>
      </w:r>
      <w:r>
        <w:t xml:space="preserve"> </w:t>
      </w:r>
      <w:r>
        <w:t xml:space="preserve">event rate there (0.418% against 0.29–0.33%). Body mass, clutch size, habitat breadth, diet</w:t>
      </w:r>
      <w:r>
        <w:t xml:space="preserve"> </w:t>
      </w:r>
      <w:r>
        <w:t xml:space="preserve">breadth, number of congeners, hand-wing index, IUCN status, endemism and trophic niche are all</w:t>
      </w:r>
      <w:r>
        <w:t xml:space="preserve"> </w:t>
      </w:r>
      <w:r>
        <w:t xml:space="preserve">null — a contrast with the mammal study, where smaller-bodied, nocturnal and data-deficient</w:t>
      </w:r>
      <w:r>
        <w:t xml:space="preserve"> </w:t>
      </w:r>
      <w:r>
        <w:t xml:space="preserve">species were more likely to be newly recorded.</w:t>
      </w:r>
    </w:p>
    <w:p>
      <w:pPr>
        <w:pStyle w:val="BodyText"/>
      </w:pPr>
      <w:r>
        <w:t xml:space="preserve">Pooling all species conceals two group-specific patterns that a stratified fit recovers</w:t>
      </w:r>
      <w:r>
        <w:t xml:space="preserve"> </w:t>
      </w:r>
      <w:r>
        <w:t xml:space="preserve">(Fig. 9alt a, b; Table 9). Splitting taxonomically, range size acts within Passeriformes</w:t>
      </w:r>
      <w:r>
        <w:t xml:space="preserve"> </w:t>
      </w:r>
      <w:r>
        <w:t xml:space="preserve">(1.53,</w:t>
      </w:r>
      <w:r>
        <w:t xml:space="preserve"> </w:t>
      </w:r>
      <w:r>
        <w:rPr>
          <w:i/>
          <w:iCs/>
        </w:rPr>
        <w:t xml:space="preserve">P</w:t>
      </w:r>
      <w:r>
        <w:t xml:space="preserve"> </w:t>
      </w:r>
      <w:r>
        <w:t xml:space="preserve">= 0.0020) but not within non-passerines, whereas the partial-migrant effect is present</w:t>
      </w:r>
      <w:r>
        <w:t xml:space="preserve"> </w:t>
      </w:r>
      <w:r>
        <w:t xml:space="preserve">in both and is stronger outside the passerines (3.19,</w:t>
      </w:r>
      <w:r>
        <w:t xml:space="preserve"> </w:t>
      </w:r>
      <w:r>
        <w:rPr>
          <w:i/>
          <w:iCs/>
        </w:rPr>
        <w:t xml:space="preserve">P</w:t>
      </w:r>
      <w:r>
        <w:t xml:space="preserve"> </w:t>
      </w:r>
      <w:r>
        <w:t xml:space="preserve">= 3.3 × 10⁻⁴, against 2.01,</w:t>
      </w:r>
      <w:r>
        <w:t xml:space="preserve"> </w:t>
      </w:r>
      <w:r>
        <w:rPr>
          <w:i/>
          <w:iCs/>
        </w:rPr>
        <w:t xml:space="preserve">P</w:t>
      </w:r>
      <w:r>
        <w:t xml:space="preserve"> </w:t>
      </w:r>
      <w:r>
        <w:t xml:space="preserve">= 0.0081). Splitting instead by migratory strategy is more revealing. Among residents only</w:t>
      </w:r>
      <w:r>
        <w:t xml:space="preserve"> </w:t>
      </w:r>
      <w:r>
        <w:t xml:space="preserve">range size matters (1.60,</w:t>
      </w:r>
      <w:r>
        <w:t xml:space="preserve"> </w:t>
      </w:r>
      <w:r>
        <w:rPr>
          <w:i/>
          <w:iCs/>
        </w:rPr>
        <w:t xml:space="preserve">P</w:t>
      </w:r>
      <w:r>
        <w:t xml:space="preserve"> </w:t>
      </w:r>
      <w:r>
        <w:t xml:space="preserve">= 0.0042). Among full migrants neither range size nor migratory</w:t>
      </w:r>
      <w:r>
        <w:t xml:space="preserve"> </w:t>
      </w:r>
      <w:r>
        <w:t xml:space="preserve">class can act, and two traits that are null in the pooled model become significant: the hand-wing</w:t>
      </w:r>
      <w:r>
        <w:t xml:space="preserve"> </w:t>
      </w:r>
      <w:r>
        <w:t xml:space="preserve">index, a standard index of dispersal ability,</w:t>
      </w:r>
      <w:r>
        <w:t xml:space="preserve"> </w:t>
      </w:r>
      <w:r>
        <w:rPr>
          <w:i/>
          <w:iCs/>
        </w:rPr>
        <w:t xml:space="preserve">lowers</w:t>
      </w:r>
      <w:r>
        <w:t xml:space="preserve"> </w:t>
      </w:r>
      <w:r>
        <w:t xml:space="preserve">the odds (0.51,</w:t>
      </w:r>
      <w:r>
        <w:t xml:space="preserve"> </w:t>
      </w:r>
      <w:r>
        <w:rPr>
          <w:i/>
          <w:iCs/>
        </w:rPr>
        <w:t xml:space="preserve">P</w:t>
      </w:r>
      <w:r>
        <w:t xml:space="preserve"> </w:t>
      </w:r>
      <w:r>
        <w:t xml:space="preserve">= 3.8 × 10⁻⁴), and body</w:t>
      </w:r>
      <w:r>
        <w:t xml:space="preserve"> </w:t>
      </w:r>
      <w:r>
        <w:t xml:space="preserve">mass raises them (1.74,</w:t>
      </w:r>
      <w:r>
        <w:t xml:space="preserve"> </w:t>
      </w:r>
      <w:r>
        <w:rPr>
          <w:i/>
          <w:iCs/>
        </w:rPr>
        <w:t xml:space="preserve">P</w:t>
      </w:r>
      <w:r>
        <w:t xml:space="preserve"> </w:t>
      </w:r>
      <w:r>
        <w:t xml:space="preserve">= 0.0037). Both fit a vagrancy mechanism. A migrant with poor flight</w:t>
      </w:r>
      <w:r>
        <w:t xml:space="preserve"> </w:t>
      </w:r>
      <w:r>
        <w:t xml:space="preserve">efficiency is more easily displaced off its normal route, and a large-bodied bird sitting far</w:t>
      </w:r>
      <w:r>
        <w:t xml:space="preserve"> </w:t>
      </w:r>
      <w:r>
        <w:t xml:space="preserve">outside its range is more likely to be noticed and reported. The pooled model averages these</w:t>
      </w:r>
      <w:r>
        <w:t xml:space="preserve"> </w:t>
      </w:r>
      <w:r>
        <w:t xml:space="preserve">against residents, for whom neither applies, and returns zero for both.</w:t>
      </w:r>
    </w:p>
    <w:p>
      <w:pPr>
        <w:pStyle w:val="BodyText"/>
      </w:pPr>
      <w:r>
        <w:rPr>
          <w:i/>
          <w:iCs/>
        </w:rPr>
        <w:t xml:space="preserve">Imputed traits.</w:t>
      </w:r>
      <w:r>
        <w:t xml:space="preserve"> </w:t>
      </w:r>
      <w:r>
        <w:t xml:space="preserve">Trait gaps were filled by random forest, but the out-of-bag error for</w:t>
      </w:r>
      <w:r>
        <w:t xml:space="preserve"> </w:t>
      </w:r>
      <w:r>
        <w:t xml:space="preserve">continuous traits is no better than mean imputation (NRMSE 1.00; the categorical error is</w:t>
      </w:r>
      <w:r>
        <w:t xml:space="preserve"> </w:t>
      </w:r>
      <w:r>
        <w:t xml:space="preserve">acceptable at PFC 0.11), so imputed values are flagged per trait and should not be treated as</w:t>
      </w:r>
      <w:r>
        <w:t xml:space="preserve"> </w:t>
      </w:r>
      <w:r>
        <w:t xml:space="preserve">equivalent to measured ones. Only 51 of the 1,298 modelled species (3.9%) carry an imputed value</w:t>
      </w:r>
      <w:r>
        <w:t xml:space="preserve"> </w:t>
      </w:r>
      <w:r>
        <w:t xml:space="preserve">among the main-model traits, and 12 of those have a record. Refitting without them leaves the</w:t>
      </w:r>
      <w:r>
        <w:t xml:space="preserve"> </w:t>
      </w:r>
      <w:r>
        <w:t xml:space="preserve">conclusions intact: 17 of 20 terms retain the same sign and significance, and all three</w:t>
      </w:r>
      <w:r>
        <w:t xml:space="preserve"> </w:t>
      </w:r>
      <w:r>
        <w:t xml:space="preserve">significant effects survive — range size 1.456 → 1.309 (</w:t>
      </w:r>
      <w:r>
        <w:rPr>
          <w:i/>
          <w:iCs/>
        </w:rPr>
        <w:t xml:space="preserve">P</w:t>
      </w:r>
      <w:r>
        <w:t xml:space="preserve"> </w:t>
      </w:r>
      <w:r>
        <w:t xml:space="preserve">1.1 × 10⁻⁴ → 4.5 × 10⁻³), partial</w:t>
      </w:r>
      <w:r>
        <w:t xml:space="preserve"> </w:t>
      </w:r>
      <w:r>
        <w:t xml:space="preserve">migrant 1.889 → 2.200 (9.7 × 10⁻⁴ → 6.5 × 10⁻⁵), open habitat 0.541 → 0.598 (2.1 × 10⁻³ →</w:t>
      </w:r>
      <w:r>
        <w:t xml:space="preserve"> </w:t>
      </w:r>
      <w:r>
        <w:t xml:space="preserve">1.1 × 10⁻²). One caveat belongs with this: on the reduced subset the phylogenetic logistic</w:t>
      </w:r>
      <w:r>
        <w:t xml:space="preserve"> </w:t>
      </w:r>
      <w:r>
        <w:t xml:space="preserve">regression reports α at its upper bound and fails to converge cleanly. The full model’s α of 0.597</w:t>
      </w:r>
      <w:r>
        <w:t xml:space="preserve"> </w:t>
      </w:r>
      <w:r>
        <w:t xml:space="preserve">is already close to that bound of 0.620, which indicates weak phylogenetic signal at this scale</w:t>
      </w:r>
      <w:r>
        <w:t xml:space="preserve"> </w:t>
      </w:r>
      <w:r>
        <w:t xml:space="preserve">rather than a problem specific to the subset. We therefore repeated the sensitivity under</w:t>
      </w:r>
      <w:r>
        <w:t xml:space="preserve"> </w:t>
      </w:r>
      <w:r>
        <w:t xml:space="preserve">taxonomic nesting and phylogenetic eigenvectors, which converge normally and return the same two</w:t>
      </w:r>
      <w:r>
        <w:t xml:space="preserve"> </w:t>
      </w:r>
      <w:r>
        <w:t xml:space="preserve">headline effects (partial migrant 2.59 and 2.57, both</w:t>
      </w:r>
      <w:r>
        <w:t xml:space="preserve"> </w:t>
      </w:r>
      <w:r>
        <w:rPr>
          <w:i/>
          <w:iCs/>
        </w:rPr>
        <w:t xml:space="preserve">P</w:t>
      </w:r>
      <w:r>
        <w:t xml:space="preserve"> </w:t>
      </w:r>
      <w:r>
        <w:t xml:space="preserve">&lt; 5 × 10⁻⁶; range size 1.22,</w:t>
      </w:r>
      <w:r>
        <w:t xml:space="preserve"> </w:t>
      </w:r>
      <w:r>
        <w:rPr>
          <w:i/>
          <w:iCs/>
        </w:rPr>
        <w:t xml:space="preserve">P</w:t>
      </w:r>
      <w:r>
        <w:t xml:space="preserve"> </w:t>
      </w:r>
      <w:r>
        <w:t xml:space="preserve">= 0.041).</w:t>
      </w:r>
    </w:p>
    <w:p>
      <w:pPr>
        <w:pStyle w:val="BodyText"/>
      </w:pPr>
      <w:r>
        <w:t xml:space="preserve">Range size must be measured as an</w:t>
      </w:r>
      <w:r>
        <w:t xml:space="preserve"> </w:t>
      </w:r>
      <w:r>
        <w:rPr>
          <w:b/>
          <w:bCs/>
        </w:rPr>
        <w:t xml:space="preserve">area</w:t>
      </w:r>
      <w:r>
        <w:t xml:space="preserve">, not as a count of provinces occupied (Fig. 9c;</w:t>
      </w:r>
      <w:r>
        <w:t xml:space="preserve"> </w:t>
      </w:r>
      <w:r>
        <w:t xml:space="preserve">Table 7). Both area measures are independent of the response and agree: global range area gives</w:t>
      </w:r>
      <w:r>
        <w:t xml:space="preserve"> </w:t>
      </w:r>
      <w:r>
        <w:t xml:space="preserve">an odds ratio of 1.456 (95% CI 1.204–1.762,</w:t>
      </w:r>
      <w:r>
        <w:t xml:space="preserve"> </w:t>
      </w:r>
      <w:r>
        <w:rPr>
          <w:i/>
          <w:iCs/>
        </w:rPr>
        <w:t xml:space="preserve">P</w:t>
      </w:r>
      <w:r>
        <w:t xml:space="preserve"> </w:t>
      </w:r>
      <w:r>
        <w:t xml:space="preserve">= 1.1 × 10⁻⁴, n = 1,298) and Chinese range area,</w:t>
      </w:r>
      <w:r>
        <w:t xml:space="preserve"> </w:t>
      </w:r>
      <w:r>
        <w:t xml:space="preserve">taken from BirdLife polygons clipped to China, gives 1.653 (1.420–1.925,</w:t>
      </w:r>
      <w:r>
        <w:t xml:space="preserve"> </w:t>
      </w:r>
      <w:r>
        <w:rPr>
          <w:i/>
          <w:iCs/>
        </w:rPr>
        <w:t xml:space="preserve">P</w:t>
      </w:r>
      <w:r>
        <w:t xml:space="preserve"> </w:t>
      </w:r>
      <w:r>
        <w:t xml:space="preserve">= 9.0 × 10⁻¹¹,</w:t>
      </w:r>
      <w:r>
        <w:t xml:space="preserve"> </w:t>
      </w:r>
      <w:r>
        <w:t xml:space="preserve">n = 1,003). The count of provinces occupied does not qualify: the trait database was published in</w:t>
      </w:r>
      <w:r>
        <w:t xml:space="preserve"> </w:t>
      </w:r>
      <w:r>
        <w:t xml:space="preserve">2022 and its provincial counts therefore already contain the 2002–2021 records used as the</w:t>
      </w:r>
      <w:r>
        <w:t xml:space="preserve"> </w:t>
      </w:r>
      <w:r>
        <w:t xml:space="preserve">response. Species with a new record occupy a median of 14 provinces against 4 for those without,</w:t>
      </w:r>
      <w:r>
        <w:t xml:space="preserve"> </w:t>
      </w:r>
      <w:r>
        <w:t xml:space="preserve">that variable returns an odds ratio of 2.09 (</w:t>
      </w:r>
      <w:r>
        <w:rPr>
          <w:i/>
          <w:iCs/>
        </w:rPr>
        <w:t xml:space="preserve">P</w:t>
      </w:r>
      <w:r>
        <w:t xml:space="preserve"> </w:t>
      </w:r>
      <w:r>
        <w:t xml:space="preserve">= 5 × 10⁻¹⁵), and it absorbs the area effect</w:t>
      </w:r>
      <w:r>
        <w:t xml:space="preserve"> </w:t>
      </w:r>
      <w:r>
        <w:t xml:space="preserve">entirely when both are entered (area 0.96,</w:t>
      </w:r>
      <w:r>
        <w:t xml:space="preserve"> </w:t>
      </w:r>
      <w:r>
        <w:rPr>
          <w:i/>
          <w:iCs/>
        </w:rPr>
        <w:t xml:space="preserve">P</w:t>
      </w:r>
      <w:r>
        <w:t xml:space="preserve"> </w:t>
      </w:r>
      <w:r>
        <w:t xml:space="preserve">= 0.70). We report only the area measures.</w:t>
      </w:r>
    </w:p>
    <w:p>
      <w:pPr>
        <w:pStyle w:val="BodyText"/>
      </w:pPr>
      <w:r>
        <w:rPr>
          <w:i/>
          <w:iCs/>
        </w:rPr>
        <w:t xml:space="preserve">Province level.</w:t>
      </w:r>
      <w:r>
        <w:t xml:space="preserve"> </w:t>
      </w:r>
      <w:r>
        <w:t xml:space="preserve">Counts of new records per province are overdispersed relative to Poisson</w:t>
      </w:r>
      <w:r>
        <w:t xml:space="preserve"> </w:t>
      </w:r>
      <w:r>
        <w:t xml:space="preserve">(dispersion 5.59,</w:t>
      </w:r>
      <w:r>
        <w:t xml:space="preserve"> </w:t>
      </w:r>
      <w:r>
        <w:rPr>
          <w:i/>
          <w:iCs/>
        </w:rPr>
        <w:t xml:space="preserve">P</w:t>
      </w:r>
      <w:r>
        <w:t xml:space="preserve"> </w:t>
      </w:r>
      <w:r>
        <w:t xml:space="preserve">= 2.8 × 10⁻¹⁷); a negative binomial is adequate (1.23,</w:t>
      </w:r>
      <w:r>
        <w:t xml:space="preserve"> </w:t>
      </w:r>
      <w:r>
        <w:rPr>
          <w:i/>
          <w:iCs/>
        </w:rPr>
        <w:t xml:space="preserve">P</w:t>
      </w:r>
      <w:r>
        <w:t xml:space="preserve"> </w:t>
      </w:r>
      <w:r>
        <w:t xml:space="preserve">= 0.20, θ = 6.12)</w:t>
      </w:r>
      <w:r>
        <w:t xml:space="preserve"> </w:t>
      </w:r>
      <w:r>
        <w:t xml:space="preserve">and passes simulation-based diagnostics (Fig. 10a; Table 8). In the count model only regional</w:t>
      </w:r>
      <w:r>
        <w:t xml:space="preserve"> </w:t>
      </w:r>
      <w:r>
        <w:t xml:space="preserve">species richness is significant (incidence rate ratio 1.27,</w:t>
      </w:r>
      <w:r>
        <w:t xml:space="preserve"> </w:t>
      </w:r>
      <w:r>
        <w:rPr>
          <w:i/>
          <w:iCs/>
        </w:rPr>
        <w:t xml:space="preserve">P</w:t>
      </w:r>
      <w:r>
        <w:t xml:space="preserve"> </w:t>
      </w:r>
      <w:r>
        <w:t xml:space="preserve">= 0.035). The informative model is</w:t>
      </w:r>
      <w:r>
        <w:t xml:space="preserve"> </w:t>
      </w:r>
      <w:r>
        <w:t xml:space="preserve">the one that treats recent survey effort as an offset, so that the response becomes the discovery</w:t>
      </w:r>
      <w:r>
        <w:t xml:space="preserve"> </w:t>
      </w:r>
      <w:r>
        <w:t xml:space="preserve">rate per unit of effort: there, provinces already well covered in 2002–2008 yield fewer records</w:t>
      </w:r>
      <w:r>
        <w:t xml:space="preserve"> </w:t>
      </w:r>
      <w:r>
        <w:t xml:space="preserve">per unit of recent effort (0.70,</w:t>
      </w:r>
      <w:r>
        <w:t xml:space="preserve"> </w:t>
      </w:r>
      <w:r>
        <w:rPr>
          <w:i/>
          <w:iCs/>
        </w:rPr>
        <w:t xml:space="preserve">P</w:t>
      </w:r>
      <w:r>
        <w:t xml:space="preserve"> </w:t>
      </w:r>
      <w:r>
        <w:t xml:space="preserve">= 0.023), as does higher GDP per capita (0.61,</w:t>
      </w:r>
      <w:r>
        <w:t xml:space="preserve"> </w:t>
      </w:r>
      <w:r>
        <w:rPr>
          <w:i/>
          <w:iCs/>
        </w:rPr>
        <w:t xml:space="preserve">P</w:t>
      </w:r>
      <w:r>
        <w:t xml:space="preserve"> </w:t>
      </w:r>
      <w:r>
        <w:t xml:space="preserve">= 0.0026)</w:t>
      </w:r>
      <w:r>
        <w:t xml:space="preserve"> </w:t>
      </w:r>
      <w:r>
        <w:t xml:space="preserve">(Fig. 10b). Hierarchical partitioning attributes 51.2% of the explained deviance to species</w:t>
      </w:r>
      <w:r>
        <w:t xml:space="preserve"> </w:t>
      </w:r>
      <w:r>
        <w:t xml:space="preserve">richness, 32.9% to area and 9% to the two effort terms combined, with the full model explaining</w:t>
      </w:r>
      <w:r>
        <w:t xml:space="preserve"> </w:t>
      </w:r>
      <w:r>
        <w:t xml:space="preserve">20.5% of deviance (Fig. 10c).</w:t>
      </w:r>
    </w:p>
    <w:p>
      <w:pPr>
        <w:pStyle w:val="BodyText"/>
      </w:pPr>
      <w:r>
        <w:t xml:space="preserve">Effort therefore appears at the provincial scale not as a count effect but as diminishing</w:t>
      </w:r>
      <w:r>
        <w:t xml:space="preserve"> </w:t>
      </w:r>
      <w:r>
        <w:t xml:space="preserve">returns — the same signal the hazard model shows as an effort coefficient that falls through time.</w:t>
      </w:r>
      <w:r>
        <w:t xml:space="preserve"> </w:t>
      </w:r>
      <w:r>
        <w:t xml:space="preserve">Two analyses at different levels, on different response variables, converge on the conclusion that</w:t>
      </w:r>
      <w:r>
        <w:t xml:space="preserve"> </w:t>
      </w:r>
      <w:r>
        <w:t xml:space="preserve">China’s observational capacity is now large enough that additional effort recovers progressively</w:t>
      </w:r>
      <w:r>
        <w:t xml:space="preserve"> </w:t>
      </w:r>
      <w:r>
        <w:t xml:space="preserve">less of what remains undocumented.</w:t>
      </w:r>
    </w:p>
    <w:p>
      <w:pPr>
        <w:pStyle w:val="BodyText"/>
      </w:pPr>
      <w:r>
        <w:t xml:space="preserve">One adaptation must be stated. The mammal study measured historical survey effort as publication</w:t>
      </w:r>
      <w:r>
        <w:t xml:space="preserve"> </w:t>
      </w:r>
      <w:r>
        <w:t xml:space="preserve">counts for 1949–2000. No bird analogue exists in these data: the observation database holds seven</w:t>
      </w:r>
      <w:r>
        <w:t xml:space="preserve"> </w:t>
      </w:r>
      <w:r>
        <w:t xml:space="preserve">reports before 2000 and 29 of 31 provinces have none. Early (2002–2008) and recent (2009–2024)</w:t>
      </w:r>
      <w:r>
        <w:t xml:space="preserve"> </w:t>
      </w:r>
      <w:r>
        <w:t xml:space="preserve">coverage therefore take that role, which preserves the question — do provinces already well</w:t>
      </w:r>
      <w:r>
        <w:t xml:space="preserve"> </w:t>
      </w:r>
      <w:r>
        <w:t xml:space="preserve">covered show diminishing returns? — on a shorter timescale than the original.</w:t>
      </w:r>
    </w:p>
    <w:bookmarkEnd w:id="18"/>
    <w:bookmarkStart w:id="19" w:name="Xc6bca05a8d0c9105c2bfd59170cf82c9f277673"/>
    <w:p>
      <w:pPr>
        <w:pStyle w:val="Heading3"/>
      </w:pPr>
      <w:r>
        <w:t xml:space="preserve">New records are strongly biased toward the east and northeast</w:t>
      </w:r>
    </w:p>
    <w:p>
      <w:pPr>
        <w:pStyle w:val="FirstParagraph"/>
      </w:pPr>
      <w:r>
        <w:t xml:space="preserve">If new records simply filled in survey gaps at random, they would fall on all sides of a species’</w:t>
      </w:r>
      <w:r>
        <w:t xml:space="preserve"> </w:t>
      </w:r>
      <w:r>
        <w:t xml:space="preserve">known range with equal frequency. They do not. Taking the bearing from the centroid of each</w:t>
      </w:r>
      <w:r>
        <w:t xml:space="preserve"> </w:t>
      </w:r>
      <w:r>
        <w:t xml:space="preserve">species’ BirdLife range to the record itself and binning into eight sectors, direction is far from</w:t>
      </w:r>
      <w:r>
        <w:t xml:space="preserve"> </w:t>
      </w:r>
      <w:r>
        <w:t xml:space="preserve">uniform (χ² = 580.1, df = 7,</w:t>
      </w:r>
      <w:r>
        <w:t xml:space="preserve"> </w:t>
      </w:r>
      <w:r>
        <w:rPr>
          <w:i/>
          <w:iCs/>
        </w:rPr>
        <w:t xml:space="preserve">P</w:t>
      </w:r>
      <w:r>
        <w:t xml:space="preserve"> </w:t>
      </w:r>
      <w:r>
        <w:t xml:space="preserve">= 4.6 × 10⁻¹²¹; Fig. 11). Two sectors are over-represented after</w:t>
      </w:r>
      <w:r>
        <w:t xml:space="preserve"> </w:t>
      </w:r>
      <w:r>
        <w:t xml:space="preserve">Holm correction: east holds 237 of 642 records (36.9%, against 80.2 expected) and northeast 179</w:t>
      </w:r>
      <w:r>
        <w:t xml:space="preserve"> </w:t>
      </w:r>
      <w:r>
        <w:t xml:space="preserve">(27.9%). South and west are nearly empty, with 20 and 19.</w:t>
      </w:r>
    </w:p>
    <w:p>
      <w:pPr>
        <w:pStyle w:val="BodyText"/>
      </w:pPr>
      <w:r>
        <w:t xml:space="preserve">The pattern is not carried by one taxon. Five of the well-sampled orders reject uniformity on</w:t>
      </w:r>
      <w:r>
        <w:t xml:space="preserve"> </w:t>
      </w:r>
      <w:r>
        <w:t xml:space="preserve">their own — Passeriformes (χ² = 376.6,</w:t>
      </w:r>
      <w:r>
        <w:t xml:space="preserve"> </w:t>
      </w:r>
      <w:r>
        <w:rPr>
          <w:i/>
          <w:iCs/>
        </w:rPr>
        <w:t xml:space="preserve">P</w:t>
      </w:r>
      <w:r>
        <w:t xml:space="preserve"> </w:t>
      </w:r>
      <w:r>
        <w:t xml:space="preserve">= 2.5 × 10⁻⁷⁷), Anseriformes (64.0), Accipitriformes</w:t>
      </w:r>
      <w:r>
        <w:t xml:space="preserve"> </w:t>
      </w:r>
      <w:r>
        <w:t xml:space="preserve">(52.5), Charadriiformes (45.5) and Columbiformes (29.1) — and in every case the significant</w:t>
      </w:r>
      <w:r>
        <w:t xml:space="preserve"> </w:t>
      </w:r>
      <w:r>
        <w:t xml:space="preserve">sectors are east, northeast or both.</w:t>
      </w:r>
    </w:p>
    <w:p>
      <w:pPr>
        <w:pStyle w:val="BodyText"/>
      </w:pPr>
      <w:r>
        <w:t xml:space="preserve">Two mechanisms are consistent with this and cannot be separated by these data. The eastern half of</w:t>
      </w:r>
      <w:r>
        <w:t xml:space="preserve"> </w:t>
      </w:r>
      <w:r>
        <w:t xml:space="preserve">China holds the great majority of the observer population, so a species’ range edge is far more</w:t>
      </w:r>
      <w:r>
        <w:t xml:space="preserve"> </w:t>
      </w:r>
      <w:r>
        <w:t xml:space="preserve">likely to be watched on its eastern than on its western side; this is the observational reading,</w:t>
      </w:r>
      <w:r>
        <w:t xml:space="preserve"> </w:t>
      </w:r>
      <w:r>
        <w:t xml:space="preserve">and it is the same asymmetry the province-by-year variance component captures. The ecological</w:t>
      </w:r>
      <w:r>
        <w:t xml:space="preserve"> </w:t>
      </w:r>
      <w:r>
        <w:t xml:space="preserve">reading is that eastern and north-eastern range margins are where suitable climate is expanding</w:t>
      </w:r>
      <w:r>
        <w:t xml:space="preserve"> </w:t>
      </w:r>
      <w:r>
        <w:t xml:space="preserve">fastest for a warming-tracking assemblage. The companion mammal study found a northward and</w:t>
      </w:r>
      <w:r>
        <w:t xml:space="preserve"> </w:t>
      </w:r>
      <w:r>
        <w:t xml:space="preserve">eastward bias on the same reasoning. That birds show an eastward rather than a northward bias is</w:t>
      </w:r>
      <w:r>
        <w:t xml:space="preserve"> </w:t>
      </w:r>
      <w:r>
        <w:t xml:space="preserve">itself informative: China’s observer gradient runs west-to-east, not south-to-north, which tilts</w:t>
      </w:r>
      <w:r>
        <w:t xml:space="preserve"> </w:t>
      </w:r>
      <w:r>
        <w:t xml:space="preserve">the balance of the two explanations toward the observational one for this taxon.</w:t>
      </w:r>
    </w:p>
    <w:bookmarkEnd w:id="19"/>
    <w:bookmarkStart w:id="20" w:name="the-return-on-survey-effort-is-declining"/>
    <w:p>
      <w:pPr>
        <w:pStyle w:val="Heading3"/>
      </w:pPr>
      <w:r>
        <w:t xml:space="preserve">The return on survey effort is declining</w:t>
      </w:r>
    </w:p>
    <w:p>
      <w:pPr>
        <w:pStyle w:val="FirstParagraph"/>
      </w:pPr>
      <w:r>
        <w:t xml:space="preserve">The proportional-hazards assumption holds for accumulated warming (interaction with time β &lt; 0.001,</w:t>
      </w:r>
      <w:r>
        <w:t xml:space="preserve"> </w:t>
      </w:r>
      <w:r>
        <w:rPr>
          <w:i/>
          <w:iCs/>
        </w:rPr>
        <w:t xml:space="preserve">P</w:t>
      </w:r>
      <w:r>
        <w:t xml:space="preserve"> </w:t>
      </w:r>
      <w:r>
        <w:t xml:space="preserve">= 1.00) but not for effort (β = −0.190,</w:t>
      </w:r>
      <w:r>
        <w:t xml:space="preserve"> </w:t>
      </w:r>
      <w:r>
        <w:rPr>
          <w:i/>
          <w:iCs/>
        </w:rPr>
        <w:t xml:space="preserve">P</w:t>
      </w:r>
      <w:r>
        <w:t xml:space="preserve"> </w:t>
      </w:r>
      <w:r>
        <w:t xml:space="preserve">= 2.1 × 10⁻³). This is a substantive result rather than a diagnostic failure. Allowing the effort coefficient to vary through time, its hazard ratio falls from 2.14 (95% CI 1.61–2.85) in 2002 to 1.13 (0.93–1.37) in 2024, crossing into non-significance in the early 2020s (Fig. 6d). Two decades of intensifying observation have used up the readily detectable gaps, so an additional standard deviation of effort now yields far fewer first records than it did at the start of the period. That the climate term shows no such decline is the sharpest available evidence that the two coefficients are capturing different processes: a saturating observational process and a non-saturating climatic one.</w:t>
      </w:r>
    </w:p>
    <w:bookmarkEnd w:id="20"/>
    <w:bookmarkStart w:id="21" w:name="robustness"/>
    <w:p>
      <w:pPr>
        <w:pStyle w:val="Heading3"/>
      </w:pPr>
      <w:r>
        <w:t xml:space="preserve">Robustness</w:t>
      </w:r>
    </w:p>
    <w:p>
      <w:pPr>
        <w:pStyle w:val="FirstParagraph"/>
      </w:pPr>
      <w:r>
        <w:t xml:space="preserve">The conclusions do not depend on any freely chosen analytical decision (Fig. 3).</w:t>
      </w:r>
    </w:p>
    <w:p>
      <w:pPr>
        <w:pStyle w:val="BodyText"/>
      </w:pPr>
      <w:r>
        <w:rPr>
          <w:i/>
          <w:iCs/>
        </w:rPr>
        <w:t xml:space="preserve">Species-distribution-model threshold.</w:t>
      </w:r>
      <w:r>
        <w:t xml:space="preserve"> </w:t>
      </w:r>
      <w:r>
        <w:t xml:space="preserve">A province enters a species’ candidate pool when the species distribution model marks at least a threshold number of suitable cells inside it. Cells are those of the 2.5-arc-minute climate surface and have a median area of 18.3 km², so thresholds of 50, 100 and 200 cells correspond to roughly 0.9, 1.8 and 3.7 thousand km² of suitable habitat. Raising the requirement from 50 to 200 cells changes the risk set from 175,640 to 155,207 rows but leaves the coefficients essentially fixed (effort 1.429, 1.431, 1.437; warming 1.365, 1.379, 1.375; interaction 0.839, 0.840, 0.839).</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10.4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0.11). Annual mean temperature integrates the whole thermal regime, whereas seasonal extremes describe conditions that constrain overwintering or breeding but not the year-round climatic envelope within which a range boundary sits.</w:t>
      </w:r>
    </w:p>
    <w:p>
      <w:pPr>
        <w:pStyle w:val="BodyText"/>
      </w:pPr>
      <w:r>
        <w:rPr>
          <w:i/>
          <w:iCs/>
        </w:rPr>
        <w:t xml:space="preserve">Accumulation window and climate baseline.</w:t>
      </w:r>
      <w:r>
        <w:t xml:space="preserve"> </w:t>
      </w:r>
      <w:r>
        <w:t xml:space="preserve">Both are analyst choices rather than data-determined ones, so we tested them jointly at windows of 5, 10, 15 and 20 years against the two baselines in common use for this kind of anomaly, 1980–2000 and 1970–2000 (Fig. 7).</w:t>
      </w:r>
    </w:p>
    <w:p>
      <w:pPr>
        <w:pStyle w:val="BodyText"/>
      </w:pPr>
      <w:r>
        <w:t xml:space="preserve">The 1970–2000 baseline cannot be computed from the WorldClim 2.1 downscaling used in the main analysis, which begins in 1980. We therefore rebuilt the entire climate chain from CRU TS 4.09 at its native 0.5°, which reaches back to 1901, and fitted</w:t>
      </w:r>
      <w:r>
        <w:t xml:space="preserve"> </w:t>
      </w:r>
      <w:r>
        <w:rPr>
          <w:i/>
          <w:iCs/>
        </w:rPr>
        <w:t xml:space="preserve">both</w:t>
      </w:r>
      <w:r>
        <w:t xml:space="preserve"> </w:t>
      </w:r>
      <w:r>
        <w:t xml:space="preserve">baselines on it. This separates two things that would otherwise be confounded: comparing WorldClim 1980–2000 with CRU 1980–2000 isolates the effect of changing data source and resolution, and comparing CRU 1980–2000 with CRU 1970–2000 isolates the effect of the baseline period itself.</w:t>
      </w:r>
    </w:p>
    <w:p>
      <w:pPr>
        <w:pStyle w:val="BodyText"/>
      </w:pPr>
      <w:r>
        <w:t xml:space="preserve">Three results follow, and each has an ecological reading rather than being merely a robustness statement.</w:t>
      </w:r>
    </w:p>
    <w:p>
      <w:pPr>
        <w:pStyle w:val="BodyText"/>
      </w:pPr>
      <w:r>
        <w:t xml:space="preserve">First, the warming coefficient rises with window length in every series, from about 1.16–1.22 at five years to 1.38–1.40 at twenty years (Fig. 7a). This is the signature expected of a process that integrates climate over years to decades: a five-year window measures weather rather than climate and dilutes the signal, whereas a boundary shifts only when conditions have been favourable long enough for colonisation and establishment. A finer grid spanning 3 to 23 years (Extended Data Table 2) places the optimum at 18–20 years with AIC rising again by 23 years, so the optimum is interior rather than an artefact of the tested range. We retain 15 years as pre-specified; it lies within 2.1–6.0 AIC units of the optimum in every series.</w:t>
      </w:r>
    </w:p>
    <w:p>
      <w:pPr>
        <w:pStyle w:val="BodyText"/>
      </w:pPr>
      <w:r>
        <w:t xml:space="preserve">Second, the effort coefficient is flat at 1.37–1.43 across all twelve combinations (Fig. 7b), and the interaction is negative throughout (0.82–0.96; Fig. 7c). If the climate and effort terms were competing for the same variance, changing the climate specification would move the effort estimate. It does not, which is direct evidence that the two are separately identified.</w:t>
      </w:r>
    </w:p>
    <w:p>
      <w:pPr>
        <w:pStyle w:val="BodyText"/>
      </w:pPr>
      <w:r>
        <w:t xml:space="preserve">Third, the choice between the two baselines is immaterial, and if anything the longer one strengthens the result: at</w:t>
      </w:r>
      <w:r>
        <w:t xml:space="preserve"> </w:t>
      </w:r>
      <w:r>
        <w:rPr>
          <w:i/>
          <w:iCs/>
        </w:rPr>
        <w:t xml:space="preserve">W</w:t>
      </w:r>
      <w:r>
        <w:t xml:space="preserve"> </w:t>
      </w:r>
      <w:r>
        <w:t xml:space="preserve">= 15 the hazard ratio is 1.366 under CRU 1970–2000 against 1.319 under CRU 1980–2000, and the main WorldClim 1980–2000 estimate of 1.365 sits between the two. Changing data source and resolution moves the estimate by a similar small amount (1.365 to 1.319), so neither choice is decisive. One caveat follows from the resolution difference and matters for interpretation: because the 0.5° CRU grid smooths the sub-grid topographic variation that the 10-arc-minute downscaling retains, one standard deviation of accumulated warming is 0.058 °C in the CRU series against 0.179 °C in the main one. Standardised hazard ratios remain comparable, but the natural-unit statements in this paper refer to the main, higher-resolution series.</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1.55 and warming hazard ratios between 1.33 and 1.39. Because the three missing-data rules yield different sample sizes, AIC is not comparable across them and we compare coefficients only. The coverage-gap interpretation is strongly supported by the data: in 22 of the 24 cells flagged as structural zeros, the immediately adjacent years within the same province record between one and 27 visits, so these are gaps in database coverage rather than years in which birdwatching ceased.</w:t>
      </w:r>
    </w:p>
    <w:bookmarkEnd w:id="21"/>
    <w:bookmarkStart w:id="22" w:name="model-adequacy"/>
    <w:p>
      <w:pPr>
        <w:pStyle w:val="Heading3"/>
      </w:pPr>
      <w:r>
        <w:t xml:space="preserve">Model adequacy</w:t>
      </w:r>
    </w:p>
    <w:p>
      <w:pPr>
        <w:pStyle w:val="FirstParagraph"/>
      </w:pPr>
      <w:r>
        <w:t xml:space="preserve">Simulation-based residual diagnostics indicate a well-calibrated model (Extended Data Fig. 1; Table 4). Scaled residuals are uniform (Kolmogorov–Smirnov</w:t>
      </w:r>
      <w:r>
        <w:t xml:space="preserve"> </w:t>
      </w:r>
      <w:r>
        <w:rPr>
          <w:i/>
          <w:iCs/>
        </w:rPr>
        <w:t xml:space="preserve">P</w:t>
      </w:r>
      <w:r>
        <w:t xml:space="preserve"> </w:t>
      </w:r>
      <w:r>
        <w:t xml:space="preserve">= 0.86), dispersion is correct (</w:t>
      </w:r>
      <w:r>
        <w:rPr>
          <w:i/>
          <w:iCs/>
        </w:rPr>
        <w:t xml:space="preserve">P</w:t>
      </w:r>
      <w:r>
        <w:t xml:space="preserve"> </w:t>
      </w:r>
      <w:r>
        <w:t xml:space="preserve">= 0.51) and there is no zero inflation (</w:t>
      </w:r>
      <w:r>
        <w:rPr>
          <w:i/>
          <w:iCs/>
        </w:rPr>
        <w:t xml:space="preserve">P</w:t>
      </w:r>
      <w:r>
        <w:t xml:space="preserve"> </w:t>
      </w:r>
      <w:r>
        <w:t xml:space="preserve">= 0.52). None of 23 year levels and three of 31 province levels show within-group deviation at</w:t>
      </w:r>
      <w:r>
        <w:t xml:space="preserve"> </w:t>
      </w:r>
      <w:r>
        <w:rPr>
          <w:i/>
          <w:iCs/>
        </w:rPr>
        <w:t xml:space="preserve">P</w:t>
      </w:r>
      <w:r>
        <w:t xml:space="preserve"> </w:t>
      </w:r>
      <w:r>
        <w:t xml:space="preserve">&lt; 0.05, consistent with the nominal rate. Province-mean residuals show no spatial autocorrelation (Moran’s</w:t>
      </w:r>
      <w:r>
        <w:t xml:space="preserve"> </w:t>
      </w:r>
      <w:r>
        <w:rPr>
          <w:i/>
          <w:iCs/>
        </w:rPr>
        <w:t xml:space="preserve">I</w:t>
      </w:r>
      <w:r>
        <w:t xml:space="preserve"> </w:t>
      </w:r>
      <w:r>
        <w:t xml:space="preserve">= −0.042 against an expectation of −0.033; permutation</w:t>
      </w:r>
      <w:r>
        <w:t xml:space="preserve"> </w:t>
      </w:r>
      <w:r>
        <w:rPr>
          <w:i/>
          <w:iCs/>
        </w:rPr>
        <w:t xml:space="preserve">P</w:t>
      </w:r>
      <w:r>
        <w:t xml:space="preserve"> </w:t>
      </w:r>
      <w:r>
        <w:t xml:space="preserve">= 0.76). The outlier test is significant (86 outliers,</w:t>
      </w:r>
      <w:r>
        <w:t xml:space="preserve"> </w:t>
      </w:r>
      <w:r>
        <w:rPr>
          <w:i/>
          <w:iCs/>
        </w:rPr>
        <w:t xml:space="preserve">P</w:t>
      </w:r>
      <w:r>
        <w:t xml:space="preserve"> </w:t>
      </w:r>
      <w:r>
        <w:t xml:space="preserve">&lt; 0.001), as is expected of a binary outcome with an event rate of 0.37%; we report it for completeness rather than as evidence of misspecification.</w:t>
      </w:r>
    </w:p>
    <w:p>
      <w:pPr>
        <w:pStyle w:val="BodyText"/>
      </w:pPr>
      <w:r>
        <w:t xml:space="preserve">Three resampling analyses complete the assessment (Extended Data Fig. 5). Three design-preserving permutation nulls, each destroying exactly one association while holding the risk set, the per-province-year event counts, the effort and completeness marginals and the random-effect hierarchy fixed, place every reported coefficient outside its null distribution except annual climate variability, which is null under the design as it is in the fitted model (</w:t>
      </w:r>
      <w:r>
        <w:rPr>
          <w:i/>
          <w:iCs/>
        </w:rPr>
        <w:t xml:space="preserve">P</w:t>
      </w:r>
      <w:r>
        <w:t xml:space="preserve"> </w:t>
      </w:r>
      <w:r>
        <w:t xml:space="preserve">= 0.16 and 0.31). A cluster bootstrap of 300 resamples shows that provincial clustering inflates the standard errors by a factor of 1.30–1.53 relative to the model-based values, whereas species clustering does not (0.89–1.19); Table 2 therefore reports both intervals. A parametric bootstrap of 150 simulations recovers the coefficients with absolute bias below 0.01 on the log-hazard scale and gives actual coverage of 92.0–93.3% for the nominal 95% interval, consistent with the cluster result. Leaving out each province in turn, and each of ten species deciles, moves the coefficients by at most 3.9%, with 9 of 164 combinations exceeding 3%: no single province or species group carries the result.</w:t>
      </w:r>
    </w:p>
    <w:p>
      <w:pPr>
        <w:pStyle w:val="BodyText"/>
      </w:pPr>
      <w:r>
        <w:t xml:space="preserve">The proportional-hazards assumption holds for the focal climate term: the interaction between accumulated warming and time is negligible (β &lt; 0.001,</w:t>
      </w:r>
      <w:r>
        <w:t xml:space="preserve"> </w:t>
      </w:r>
      <w:r>
        <w:rPr>
          <w:i/>
          <w:iCs/>
        </w:rPr>
        <w:t xml:space="preserve">P</w:t>
      </w:r>
      <w:r>
        <w:t xml:space="preserve"> </w:t>
      </w:r>
      <w:r>
        <w:t xml:space="preserve">= 1.00). It does not hold for effort (β = −0.190,</w:t>
      </w:r>
      <w:r>
        <w:t xml:space="preserve"> </w:t>
      </w:r>
      <w:r>
        <w:rPr>
          <w:i/>
          <w:iCs/>
        </w:rPr>
        <w:t xml:space="preserve">P</w:t>
      </w:r>
      <w:r>
        <w:t xml:space="preserve"> </w:t>
      </w:r>
      <w:r>
        <w:t xml:space="preserve">= 2.1 × 10⁻³), which is a substantive result rather than a diagnostic failure: the marginal return of an additional standard deviation of survey effort has declined over 2002–2024, consistent with the progressive saturation of easily detectable gaps. In a model that allows both effects to vary through time, the fixed effects are unchanged in direction and magnitude (effort 1.549, warming 1.366, variability 0.996), and only the interaction loses significance (0.838,</w:t>
      </w:r>
      <w:r>
        <w:t xml:space="preserve"> </w:t>
      </w:r>
      <w:r>
        <w:rPr>
          <w:i/>
          <w:iCs/>
        </w:rPr>
        <w:t xml:space="preserve">P</w:t>
      </w:r>
      <w:r>
        <w:t xml:space="preserve"> </w:t>
      </w:r>
      <w:r>
        <w:t xml:space="preserve">= 0.06).</w:t>
      </w:r>
    </w:p>
    <w:bookmarkEnd w:id="22"/>
    <w:bookmarkStart w:id="23" w:name="X30c910c5c654a1a1551de8e16c7c8a457dac784"/>
    <w:p>
      <w:pPr>
        <w:pStyle w:val="Heading3"/>
      </w:pPr>
      <w:r>
        <w:t xml:space="preserve">How far can these relationships be projected?</w:t>
      </w:r>
    </w:p>
    <w:p>
      <w:pPr>
        <w:pStyle w:val="FirstParagraph"/>
      </w:pPr>
      <w:r>
        <w:t xml:space="preserve">We projected the fitted hazard under CMIP6 SSP2-4.5 and SSP5-8.5 for 2030, 2050 and 2080, applying the four-model ensemble delta to both the provincial and the species-range end of the climate gradient — applying it to one end only would create a climate signal from spatially uniform warming — and growing effort at scenario-differentiated rates. We then asked how much of each scenario lies inside the range over which the model was fitted (Fig. M4b).</w:t>
      </w:r>
    </w:p>
    <w:p>
      <w:pPr>
        <w:pStyle w:val="BodyText"/>
      </w:pPr>
      <w:r>
        <w:t xml:space="preserve">The answer sharply constrains what can be claimed. The historical species-specific gradient has a standard deviation of only 0.18 °C, because provincial and range-wide anomalies largely move together. Future province-minus-range warming differentials reach 2 °C, more than ten standard deviations beyond the fitted range, and effort leaves its fitted range sooner still, because its 2024 level is already the highest observed. Only 45.7% of species-province cells fall inside the fitted covariate support under SSP2-4.5 in 2030, 6.3% in 2050 and none in 2080; under SSP5-8.5, 30.3% in 2030 and none thereafter.</w:t>
      </w:r>
    </w:p>
    <w:p>
      <w:pPr>
        <w:pStyle w:val="BodyText"/>
      </w:pPr>
      <w:r>
        <w:t xml:space="preserve">Restricted to cells inside the support, the mechanistic model projects hazard ratios relative to 2024 of 0.95 to 1.50 (Fig. M1). Applied without the mask, the same model produces ratios up to 88 (Extended Data Fig. 3). We regard the masked surfaces as the defensible result and the unmasked ones as an illustration of how far the extrapolation reaches.</w:t>
      </w:r>
    </w:p>
    <w:p>
      <w:pPr>
        <w:pStyle w:val="BodyText"/>
      </w:pPr>
      <w:r>
        <w:t xml:space="preserve">A gradient-boosted comparison model trained on the same three predictors reinforces the point. Within the observed range the two model families track each other across province-years (Spearman ρ = 0.56). Outside it they diverge: rank correlations across province-scenario cells range from 0.14 to 0.48, but the two agree on the direction of change in only 8.6% of cells, and in none under SSP5-8.5 in 2080. The mechanistic model projects increases in 178 of 186 cells; the machine-learning model in 8. The cause is structural: tree ensembles return boundary leaf values once covariates leave the training support and therefore saturate, whereas the complementary log-log model extrapolates linearly on the log-hazard scale. Neither behaviour is validated by the data. TreeSHAP attributions within the training range are monotone increasing for both warming and effort (Fig. M3), consistent with the mechanistic coefficients.</w:t>
      </w:r>
    </w:p>
    <w:bookmarkEnd w:id="23"/>
    <w:bookmarkStart w:id="24" w:name="X8e399277562751b0978c96f332af6194ca3906c"/>
    <w:p>
      <w:pPr>
        <w:pStyle w:val="Heading3"/>
      </w:pPr>
      <w:r>
        <w:t xml:space="preserve">Records inside nature reserves measure the observation process, not reserve performance</w:t>
      </w:r>
    </w:p>
    <w:p>
      <w:pPr>
        <w:pStyle w:val="FirstParagraph"/>
      </w:pPr>
      <w:r>
        <w:t xml:space="preserve">Twenty-six per cent of new records fall inside one of the 1,028 mapped Chinese nature reserves, against a land-area share of 10.4% — an apparent 2.5-fold enrichment that would ordinarily be read as evidence that the reserve network is receiving redistributing species. We tested that reading against the observation process directly, using 2.86 million GBIF/eBird checklists (172,079 checklists at 43,571 distinct locations, 2002–2023) to define availability as</w:t>
      </w:r>
      <w:r>
        <w:t xml:space="preserve"> </w:t>
      </w:r>
      <w:r>
        <w:rPr>
          <w:i/>
          <w:iCs/>
        </w:rPr>
        <w:t xml:space="preserve">where birdwatchers actually went</w:t>
      </w:r>
      <w:r>
        <w:t xml:space="preserve">. Each event was matched to 200 control locations drawn from the same province and year, weighted by the checklists recorded there, and analysed by conditional logistic regression (Fig. P1).</w:t>
      </w:r>
    </w:p>
    <w:p>
      <w:pPr>
        <w:pStyle w:val="BodyText"/>
      </w:pPr>
      <w:r>
        <w:t xml:space="preserve">Nationally, birding effort is not concentrated in reserves: the checklist-weighted share inside reserves is 10.8%, indistinguishable from the area share. Conditioning on province and year, the enrichment falls from 2.5-fold to an odds ratio of 1.71 (95% CI 1.39–2.11), and to 1.57 (1.26–1.96) after adding elevation, longitude and two bioclimatic covariates. The distance analogue is consistent (0.82 per standard deviation of log distance to the nearest reserve, 0.75–0.90).</w:t>
      </w:r>
    </w:p>
    <w:p>
      <w:pPr>
        <w:pStyle w:val="BodyText"/>
      </w:pPr>
      <w:r>
        <w:t xml:space="preserve">Three features of the residual association argue that it too is largely observational. First, it is carried by very few sites: the 172 inside-reserve events fall in only 68 reserves (6.6% of the 1,028), the top two account for 27.3%, and a block bootstrap resampling host reserves rather than records widens the interval to 0.89–3.19. Dropping the two largest hosts leaves 1.16 (0.92–1.47). Second, it is confined to the period of rapid growth in birdwatching: the odds ratio is 2.05 (1.61–2.59) for 2013–2023 but 0.97 (0.62–1.50) for 2002–2012, although the mapped reserve network gained no area after 2012. Third, checklists made inside reserves record 18.9 species on average against 15.3 outside, a 24% difference in per-visit yield that stratification by province and year cannot remove. Two competing explanations were tested and rejected: the enrichment is not driven by professional survey work (inside-reserve share is 28.5% for birdwatching-type discoveries, 26.3% for specimen, camera-trap and ringing discoveries), and it is not an artefact of coordinate precision (the share rises smoothly from 26.2% to 37.6% across 0–5 km buffers, with no threshold jump).</w:t>
      </w:r>
    </w:p>
    <w:p>
      <w:pPr>
        <w:pStyle w:val="BodyText"/>
      </w:pPr>
      <w:r>
        <w:t xml:space="preserve">Because within-site observation bias cannot be conditioned out, we treat the inference as asymmetric and state the rule in advance: a null result would be strong evidence, a positive result weak. The odds ratio of 1.57 is therefore an upper bound on any ecological contribution, and the operational conclusion is that counts of new records inside reserves should not be used as an indicator of reserve performance.</w:t>
      </w:r>
    </w:p>
    <w:p>
      <w:pPr>
        <w:pStyle w:val="BodyText"/>
      </w:pPr>
      <w:r>
        <w:t xml:space="preserve">Whether a first record becomes a persistent presence is unrelated to reserve status. Using subsequent detections of the same species in the same province in the checklist layer, 41.1% of first records were re-detected at least once and 22.5% in three or more later years. Controlling for subsequent survey effort — which grew from 148 checklists province-wide in 2002 to 14,974 in 2023 and dominates re-detection — the inside-versus-outside odds ratios are 1.01 (0.62–1.64) and 1.10 (0.61–1.99) (Fig. P2). The confidence intervals are slightly wider than our pre-declared equivalence bounds of 0.67–1.5, so we report no detectable difference rather than equivalence. These figures also give the first empirical handle on the vagrancy objection: provincial first records are not predominantly vagrants, but neither are they predominantly colonisations.</w:t>
      </w:r>
    </w:p>
    <w:p>
      <w:pPr>
        <w:pStyle w:val="BodyText"/>
      </w:pPr>
      <w:r>
        <w:t xml:space="preserve">Finally, the reserve network shows no measurable mismatch with observed warming, contrary to a widely repeated expectation. Recomputing warming at the cell level from CRU TS 4.09 — the warming fields distributed with the gridded panel are provincial values broadcast to cells, with only 31 distinct values nationally — the area-weighted reserve coverage across warming quintiles ranges only from 8.5% to 11.8%, a 1.2-fold spread, against the 8.5-fold spread the broadcast field implies (Fig. P3a). An area-weighted fractional logit gives β = −0.022 (−0.107 to 0.063, P = 0.61), and permuting coverage 999 times within province × 500 m elevation strata places the observed within-stratum correlation (ρ = −0.013) squarely inside the null envelope (P = 0.48). What the network does lack is monitoring: crossing the upper tercile of warming with the lower tercile of recent birding effort identifies 39.3 × 10⁴ km² inside existing reserves, where standardised monitoring could be grafted onto existing management, and 160.3 × 10⁴ km² outside any mapped reserve, where new survey capacity would be required.</w:t>
      </w:r>
    </w:p>
    <w:p>
      <w:pPr>
        <w:pStyle w:val="BodyText"/>
      </w:pPr>
      <w:r>
        <w:t xml:space="preserve">All statements in this section apply only to the 1,028 mapped, predominantly national-level reserves established before 2012; the vector layer excludes the national parks designated from 2021, nature parks, and the ecological conservation red lines. Because reserve status has almost no temporal variation within the study window — none of the 172 inside-reserve events pre-dates its host reserve’s designation — we make no causal claim and report no before–after or difference-in-differences estimate.</w:t>
      </w:r>
    </w:p>
    <w:p>
      <w:r>
        <w:pict>
          <v:rect style="width:0;height:1.5pt" o:hralign="center" o:hrstd="t" o:hr="t"/>
        </w:pict>
      </w:r>
    </w:p>
    <w:bookmarkEnd w:id="24"/>
    <w:bookmarkEnd w:id="25"/>
    <w:bookmarkStart w:id="27" w:name="discussion"/>
    <w:p>
      <w:pPr>
        <w:pStyle w:val="Heading2"/>
      </w:pPr>
      <w:r>
        <w:t xml:space="preserve">Discussion</w:t>
      </w:r>
    </w:p>
    <w:p>
      <w:pPr>
        <w:pStyle w:val="FirstParagraph"/>
      </w:pPr>
      <w:r>
        <w:t xml:space="preserve">Three results have implications beyond this dataset.</w:t>
      </w:r>
    </w:p>
    <w:p>
      <w:pPr>
        <w:pStyle w:val="BodyText"/>
      </w:pPr>
      <w:r>
        <w:rPr>
          <w:b/>
          <w:bCs/>
        </w:rPr>
        <w:t xml:space="preserve">The date attached to a record is a modelling decision, not a bookkeeping detail.</w:t>
      </w:r>
      <w:r>
        <w:t xml:space="preserve"> </w:t>
      </w:r>
      <w:r>
        <w:t xml:space="preserve">Compilations of new distribution records — provincial, national, or regional — are assembled from the published literature, and publication year is the field that primary sources report consistently. Our decomposition shows that using it inflates the apparent contribution of survey effort by 37% and manufactures an effect of annual climate variability that does not exist. The bias is directional and predictable: because publication year and observational capacity both trend upward, the misalignment always favours the covariate that trends with observer numbers. Any compilation-based analysis that reports an effort or sampling-intensity effect without discovery dates should be read with this in mind. Where discovery dates are unavailable, our completeness framework provides a partial remedy, but the first-order fix is to record and report the observation date.</w:t>
      </w:r>
    </w:p>
    <w:p>
      <w:pPr>
        <w:pStyle w:val="BodyText"/>
      </w:pPr>
      <w:r>
        <w:rPr>
          <w:b/>
          <w:bCs/>
        </w:rPr>
        <w:t xml:space="preserve">Accumulated warming is not a minor addition to a sampling story.</w:t>
      </w:r>
      <w:r>
        <w:t xml:space="preserve"> </w:t>
      </w:r>
      <w:r>
        <w:t xml:space="preserve">After correction, warming relative to a species’ historical range and survey effort contribute comparably to the hazard of a new provincial record, and warming discriminates slightly better between event and non-event cells. This is not a claim that new records are unbiased evidence of range expansion; the effort effect remains large, and the province-by-year variance component (standard deviation 0.798 on the latent scale) is the single largest source of heterogeneity in the model, reflecting how strongly the observation process varies in space and time. It is a claim that the climate signal is not an artefact of where people look, because it survives the inclusion of effort at four proxies, three missing-data rules, three candidate-pool definitions and a random structure that absorbs province-year observational shocks.</w:t>
      </w:r>
    </w:p>
    <w:p>
      <w:pPr>
        <w:pStyle w:val="BodyText"/>
      </w:pPr>
      <w:r>
        <w:t xml:space="preserve">The negative interaction refines this. Warming raises the hazard most where survey effort is low. Two readings are consistent with the data and are not mutually exclusive. Ecologically, sparsely surveyed provinces in China are disproportionately western and montane, where climatic gradients are steep and small temperature changes translate into large habitat displacements. Observationally, densely surveyed provinces have already absorbed much of their Wallacean shortfall, so the pool of species available to be newly recorded is depleted regardless of climate. The declining marginal return of effort through time, which we detect as a violation of proportional hazards for that term alone, supports the second reading. Distinguishing them will require data on detection probability conditional on presence, which provincial compilations do not provide.</w:t>
      </w:r>
    </w:p>
    <w:p>
      <w:pPr>
        <w:pStyle w:val="BodyText"/>
      </w:pPr>
      <w:r>
        <w:rPr>
          <w:b/>
          <w:bCs/>
        </w:rPr>
        <w:t xml:space="preserve">Projection is limited by covariate support, not by scenario availability.</w:t>
      </w:r>
      <w:r>
        <w:t xml:space="preserve"> </w:t>
      </w:r>
      <w:r>
        <w:t xml:space="preserve">It is straightforward to push a fitted hazard model through CMIP6 surfaces to 2080 and produce a map. Our support diagnostic shows that virtually no species-province cell then resembles anything in the fitted data, because the species-specific climate gradient — a difference between two covarying anomalies — has a historical standard deviation an order of magnitude smaller than the future warming differentials imposed on it, and because projected effort soon exceeds its observed peak. The consequence is not merely wide uncertainty; it is that mechanistic and machine-learning models trained on identical data disagree on the direction of change in more than nine cells in ten. We recommend that projections of record generation, and of range-shift indicators built on species-specific climate differentials more generally, report the fraction of projected cells inside the fitted support as a matter of routine</w:t>
      </w:r>
      <w:r>
        <w:rPr>
          <w:rStyle w:val="FootnoteReference"/>
        </w:rPr>
        <w:footnoteReference w:id="26"/>
      </w:r>
      <w:r>
        <w:t xml:space="preserve">^. Where that fraction is small, the honest product is a near-term surface with an explicit support mask, not a century-scale map.</w:t>
      </w:r>
    </w:p>
    <w:p>
      <w:pPr>
        <w:pStyle w:val="BodyText"/>
      </w:pPr>
      <w:r>
        <w:rPr>
          <w:b/>
          <w:bCs/>
        </w:rPr>
        <w:t xml:space="preserve">Implications for monitoring and conservation planning.</w:t>
      </w:r>
      <w:r>
        <w:t xml:space="preserve"> </w:t>
      </w:r>
      <w:r>
        <w:t xml:space="preserve">Three practical points follow. First, the province-by-year variance component identifies where monitoring investment changes what is documented: a single province-year shock of one standard deviation multiplies the hazard by 2.2, more than either driver at one standard deviation. Targeted survey campaigns therefore have large and immediate effects on the biodiversity record, which is a reason to allocate them deliberately rather than opportunistically. Second, the negative interaction implies that survey effort added to under-covered, climatically dynamic provinces yields more new documentation per unit effort than the same investment in well-covered provinces — a straightforward prioritisation rule. Third, because the marginal return of effort has declined measurably within two decades, monitoring programmes should expect diminishing returns in new-record generation and should not read a plateau in new records as evidence that redistribution has slowed.</w:t>
      </w:r>
    </w:p>
    <w:p>
      <w:pPr>
        <w:pStyle w:val="BodyText"/>
      </w:pPr>
      <w:r>
        <w:rPr>
          <w:b/>
          <w:bCs/>
        </w:rPr>
        <w:t xml:space="preserve">Limitations.</w:t>
      </w:r>
      <w:r>
        <w:t xml:space="preserve"> </w:t>
      </w:r>
      <w:r>
        <w:t xml:space="preserve">Our events are formal published records, not detections; a species present but undocumented contributes to the non-event cells, so all coefficients describe the generation of</w:t>
      </w:r>
      <w:r>
        <w:t xml:space="preserve"> </w:t>
      </w:r>
      <w:r>
        <w:rPr>
          <w:i/>
          <w:iCs/>
        </w:rPr>
        <w:t xml:space="preserve">documented</w:t>
      </w:r>
      <w:r>
        <w:t xml:space="preserve"> </w:t>
      </w:r>
      <w:r>
        <w:t xml:space="preserve">records rather than of range expansions per se. This is the sense in which our framing is deliberately narrower than an attribution claim. The effort panel is provincial and annual, which is coarse relative to the scale at which observers actually operate. The candidate pool is defined by species-distribution models, whose thresholds we varied but whose structural assumptions we did not. Vagrant taxa without established Chinese ranges were excluded, so our results describe range-margin dynamics rather than long-distance displacement. Finally, the discovery-year series is right-censored at its most recent end; the completeness offset corrects the expected hazard but cannot recover the individual records that have not yet been published.</w:t>
      </w:r>
    </w:p>
    <w:p>
      <w:r>
        <w:pict>
          <v:rect style="width:0;height:1.5pt" o:hralign="center" o:hrstd="t" o:hr="t"/>
        </w:pict>
      </w:r>
    </w:p>
    <w:bookmarkEnd w:id="27"/>
    <w:bookmarkStart w:id="28" w:name="references"/>
    <w:p>
      <w:pPr>
        <w:pStyle w:val="Heading2"/>
      </w:pPr>
      <w:r>
        <w:t xml:space="preserve">References</w:t>
      </w:r>
    </w:p>
    <w:p>
      <w:pPr>
        <w:pStyle w:val="Compact"/>
        <w:numPr>
          <w:ilvl w:val="0"/>
          <w:numId w:val="1001"/>
        </w:numPr>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pStyle w:val="Compact"/>
        <w:numPr>
          <w:ilvl w:val="0"/>
          <w:numId w:val="1001"/>
        </w:numPr>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pStyle w:val="Compact"/>
        <w:numPr>
          <w:ilvl w:val="0"/>
          <w:numId w:val="1001"/>
        </w:numPr>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pStyle w:val="Compact"/>
        <w:numPr>
          <w:ilvl w:val="0"/>
          <w:numId w:val="1001"/>
        </w:numPr>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pStyle w:val="Compact"/>
        <w:numPr>
          <w:ilvl w:val="0"/>
          <w:numId w:val="1001"/>
        </w:numPr>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pStyle w:val="Compact"/>
        <w:numPr>
          <w:ilvl w:val="0"/>
          <w:numId w:val="1001"/>
        </w:numPr>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pStyle w:val="Compact"/>
        <w:numPr>
          <w:ilvl w:val="0"/>
          <w:numId w:val="1001"/>
        </w:numPr>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pStyle w:val="Compact"/>
        <w:numPr>
          <w:ilvl w:val="0"/>
          <w:numId w:val="1001"/>
        </w:numPr>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pStyle w:val="Compact"/>
        <w:numPr>
          <w:ilvl w:val="0"/>
          <w:numId w:val="1001"/>
        </w:numPr>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pStyle w:val="Compact"/>
        <w:numPr>
          <w:ilvl w:val="0"/>
          <w:numId w:val="1001"/>
        </w:numPr>
      </w:pPr>
      <w:r>
        <w:t xml:space="preserve">Ding, C., Ding, J., Qiao, H., Jiang, Z. &amp; Wang, Z. Taxonomic and spatiotemporal patterns and ecological correlates of new mammal distribution records in China.</w:t>
      </w:r>
      <w:r>
        <w:t xml:space="preserve"> </w:t>
      </w:r>
      <w:r>
        <w:rPr>
          <w:i/>
          <w:iCs/>
        </w:rPr>
        <w:t xml:space="preserve">Glob. Ecol. Biogeogr.</w:t>
      </w:r>
      <w:r>
        <w:t xml:space="preserve"> </w:t>
      </w:r>
      <w:r>
        <w:rPr>
          <w:b/>
          <w:bCs/>
        </w:rPr>
        <w:t xml:space="preserve">34</w:t>
      </w:r>
      <w:r>
        <w:t xml:space="preserve">, e70165 (2025). https://doi.org/10.1111/geb.70165</w:t>
      </w:r>
    </w:p>
    <w:p>
      <w:pPr>
        <w:pStyle w:val="Compact"/>
        <w:numPr>
          <w:ilvl w:val="0"/>
          <w:numId w:val="1001"/>
        </w:numPr>
      </w:pPr>
      <w:r>
        <w:t xml:space="preserve">Sullivan, B. L. et al. eBird: a citizen-based bird observation network in the biological sciences.</w:t>
      </w:r>
      <w:r>
        <w:t xml:space="preserve"> </w:t>
      </w:r>
      <w:r>
        <w:rPr>
          <w:i/>
          <w:iCs/>
        </w:rPr>
        <w:t xml:space="preserve">Biol. Conserv.</w:t>
      </w:r>
      <w:r>
        <w:t xml:space="preserve"> </w:t>
      </w:r>
      <w:r>
        <w:rPr>
          <w:b/>
          <w:bCs/>
        </w:rPr>
        <w:t xml:space="preserve">142</w:t>
      </w:r>
      <w:r>
        <w:t xml:space="preserve">, 2282–2292 (2009). https://doi.org/10.1016/j.biocon.2009.05.006</w:t>
      </w:r>
    </w:p>
    <w:p>
      <w:pPr>
        <w:pStyle w:val="Compact"/>
        <w:numPr>
          <w:ilvl w:val="0"/>
          <w:numId w:val="1001"/>
        </w:numPr>
      </w:pPr>
      <w:r>
        <w:t xml:space="preserve">Chandler, M. et al. Contribution of citizen science towards international biodiversity monitoring.</w:t>
      </w:r>
      <w:r>
        <w:t xml:space="preserve"> </w:t>
      </w:r>
      <w:r>
        <w:rPr>
          <w:i/>
          <w:iCs/>
        </w:rPr>
        <w:t xml:space="preserve">Biol. Conserv.</w:t>
      </w:r>
      <w:r>
        <w:t xml:space="preserve"> </w:t>
      </w:r>
      <w:r>
        <w:rPr>
          <w:b/>
          <w:bCs/>
        </w:rPr>
        <w:t xml:space="preserve">213</w:t>
      </w:r>
      <w:r>
        <w:t xml:space="preserve">, 280–294 (2017). https://doi.org/10.1016/j.biocon.2016.09.004</w:t>
      </w:r>
    </w:p>
    <w:p>
      <w:pPr>
        <w:pStyle w:val="Compact"/>
        <w:numPr>
          <w:ilvl w:val="0"/>
          <w:numId w:val="1001"/>
        </w:numPr>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pStyle w:val="Compact"/>
        <w:numPr>
          <w:ilvl w:val="0"/>
          <w:numId w:val="1001"/>
        </w:numPr>
      </w:pPr>
      <w:r>
        <w:t xml:space="preserve">MacKenzie, D. I. et al. Estimating site occupancy rates when detection probabilities are less than one.</w:t>
      </w:r>
      <w:r>
        <w:t xml:space="preserve"> </w:t>
      </w:r>
      <w:r>
        <w:rPr>
          <w:i/>
          <w:iCs/>
        </w:rPr>
        <w:t xml:space="preserve">Ecology</w:t>
      </w:r>
      <w:r>
        <w:t xml:space="preserve"> </w:t>
      </w:r>
      <w:r>
        <w:rPr>
          <w:b/>
          <w:bCs/>
        </w:rPr>
        <w:t xml:space="preserve">83</w:t>
      </w:r>
      <w:r>
        <w:t xml:space="preserve">, 2248–2255 (2002). https://doi.org/10.1890/0012-9658(2002)083[2248:ESORWD]2.0.CO;2</w:t>
      </w:r>
    </w:p>
    <w:p>
      <w:pPr>
        <w:pStyle w:val="Compact"/>
        <w:numPr>
          <w:ilvl w:val="0"/>
          <w:numId w:val="1001"/>
        </w:numPr>
      </w:pPr>
      <w:r>
        <w:t xml:space="preserve">Miller-ter Kuile, A. et al. If you’re rare, should I care? How imperfect detection changes relationships between biodiversity and global change drivers.</w:t>
      </w:r>
      <w:r>
        <w:t xml:space="preserve"> </w:t>
      </w:r>
      <w:r>
        <w:rPr>
          <w:i/>
          <w:iCs/>
        </w:rPr>
        <w:t xml:space="preserve">Glob. Change Biol.</w:t>
      </w:r>
      <w:r>
        <w:t xml:space="preserve"> </w:t>
      </w:r>
      <w:r>
        <w:rPr>
          <w:b/>
          <w:bCs/>
        </w:rPr>
        <w:t xml:space="preserve">31</w:t>
      </w:r>
      <w:r>
        <w:t xml:space="preserve">, e70362 (2025). https://doi.org/10.1111/gcb.70362</w:t>
      </w:r>
    </w:p>
    <w:p>
      <w:pPr>
        <w:pStyle w:val="Compact"/>
        <w:numPr>
          <w:ilvl w:val="0"/>
          <w:numId w:val="1001"/>
        </w:numPr>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pStyle w:val="Compact"/>
        <w:numPr>
          <w:ilvl w:val="0"/>
          <w:numId w:val="1001"/>
        </w:numPr>
      </w:pPr>
      <w:r>
        <w:t xml:space="preserve">Lahoz-Monfort, J. J. &amp; Magrath, M. J. L. A comprehensive overview of technologies for species and habitat monitoring and conservation.</w:t>
      </w:r>
      <w:r>
        <w:t xml:space="preserve"> </w:t>
      </w:r>
      <w:r>
        <w:rPr>
          <w:i/>
          <w:iCs/>
        </w:rPr>
        <w:t xml:space="preserve">BioScience</w:t>
      </w:r>
      <w:r>
        <w:t xml:space="preserve"> </w:t>
      </w:r>
      <w:r>
        <w:rPr>
          <w:b/>
          <w:bCs/>
        </w:rPr>
        <w:t xml:space="preserve">71</w:t>
      </w:r>
      <w:r>
        <w:t xml:space="preserve">, 1038–1062 (2021). https://doi.org/10.1093/biosci/biab073</w:t>
      </w:r>
    </w:p>
    <w:p>
      <w:pPr>
        <w:pStyle w:val="Compact"/>
        <w:numPr>
          <w:ilvl w:val="0"/>
          <w:numId w:val="1001"/>
        </w:numPr>
      </w:pPr>
      <w:r>
        <w:t xml:space="preserve">Burton, A. C. et al. Wildlife camera trapping: a review and recommendations for linking surveys to ecological processes.</w:t>
      </w:r>
      <w:r>
        <w:t xml:space="preserve"> </w:t>
      </w:r>
      <w:r>
        <w:rPr>
          <w:i/>
          <w:iCs/>
        </w:rPr>
        <w:t xml:space="preserve">J. Appl. Ecol.</w:t>
      </w:r>
      <w:r>
        <w:t xml:space="preserve"> </w:t>
      </w:r>
      <w:r>
        <w:rPr>
          <w:b/>
          <w:bCs/>
        </w:rPr>
        <w:t xml:space="preserve">52</w:t>
      </w:r>
      <w:r>
        <w:t xml:space="preserve">, 675–685 (2015). https://doi.org/10.1111/1365-2664.12432</w:t>
      </w:r>
    </w:p>
    <w:p>
      <w:pPr>
        <w:pStyle w:val="Compact"/>
        <w:numPr>
          <w:ilvl w:val="0"/>
          <w:numId w:val="1001"/>
        </w:numPr>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pStyle w:val="Compact"/>
        <w:numPr>
          <w:ilvl w:val="0"/>
          <w:numId w:val="1001"/>
        </w:numPr>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pStyle w:val="Compact"/>
        <w:numPr>
          <w:ilvl w:val="0"/>
          <w:numId w:val="1001"/>
        </w:numPr>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pStyle w:val="Compact"/>
        <w:numPr>
          <w:ilvl w:val="0"/>
          <w:numId w:val="1001"/>
        </w:numPr>
      </w:pPr>
      <w:r>
        <w:t xml:space="preserve">Beck, J., Böller, M., Erhardt, A. &amp; Schwanghart, W. Spatial bias in the GBIF database and its effect on modeling species’ geographic distributions.</w:t>
      </w:r>
      <w:r>
        <w:t xml:space="preserve"> </w:t>
      </w:r>
      <w:r>
        <w:rPr>
          <w:i/>
          <w:iCs/>
        </w:rPr>
        <w:t xml:space="preserve">Ecol. Inform.</w:t>
      </w:r>
      <w:r>
        <w:t xml:space="preserve"> </w:t>
      </w:r>
      <w:r>
        <w:rPr>
          <w:b/>
          <w:bCs/>
        </w:rPr>
        <w:t xml:space="preserve">19</w:t>
      </w:r>
      <w:r>
        <w:t xml:space="preserve">, 10–15 (2014). https://doi.org/10.1016/j.ecoinf.2013.11.002</w:t>
      </w:r>
    </w:p>
    <w:p>
      <w:pPr>
        <w:pStyle w:val="Compact"/>
        <w:numPr>
          <w:ilvl w:val="0"/>
          <w:numId w:val="1001"/>
        </w:numPr>
      </w:pPr>
      <w:r>
        <w:t xml:space="preserve">Meyer, C., Kreft, H., Guralnick, R. &amp; Jetz, W. Global priorities for an effective information basis of biodiversity distributions.</w:t>
      </w:r>
      <w:r>
        <w:t xml:space="preserve"> </w:t>
      </w:r>
      <w:r>
        <w:rPr>
          <w:i/>
          <w:iCs/>
        </w:rPr>
        <w:t xml:space="preserve">Nat. Commun.</w:t>
      </w:r>
      <w:r>
        <w:t xml:space="preserve"> </w:t>
      </w:r>
      <w:r>
        <w:rPr>
          <w:b/>
          <w:bCs/>
        </w:rPr>
        <w:t xml:space="preserve">6</w:t>
      </w:r>
      <w:r>
        <w:t xml:space="preserve">, 8221 (2015). https://doi.org/10.1038/ncomms9221</w:t>
      </w:r>
    </w:p>
    <w:p>
      <w:pPr>
        <w:pStyle w:val="Compact"/>
        <w:numPr>
          <w:ilvl w:val="0"/>
          <w:numId w:val="1001"/>
        </w:numPr>
      </w:pPr>
      <w:r>
        <w:t xml:space="preserve">Schrodt, F. et al. Advancing causal inference in ecology: pathways for biodiversity change detection and attribution.</w:t>
      </w:r>
      <w:r>
        <w:t xml:space="preserve"> </w:t>
      </w:r>
      <w:r>
        <w:rPr>
          <w:i/>
          <w:iCs/>
        </w:rPr>
        <w:t xml:space="preserve">Methods Ecol. Evol.</w:t>
      </w:r>
      <w:r>
        <w:t xml:space="preserve"> </w:t>
      </w:r>
      <w:r>
        <w:rPr>
          <w:b/>
          <w:bCs/>
        </w:rPr>
        <w:t xml:space="preserve">16</w:t>
      </w:r>
      <w:r>
        <w:t xml:space="preserve">, 2276–2304 (2025). https://doi.org/10.1111/2041-210X.70131</w:t>
      </w:r>
    </w:p>
    <w:p>
      <w:pPr>
        <w:pStyle w:val="Compact"/>
        <w:numPr>
          <w:ilvl w:val="0"/>
          <w:numId w:val="1001"/>
        </w:numPr>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pStyle w:val="Compact"/>
        <w:numPr>
          <w:ilvl w:val="0"/>
          <w:numId w:val="1001"/>
        </w:numPr>
      </w:pPr>
      <w:r>
        <w:t xml:space="preserve">Devictor, V., Julliard, R., Couvet, D. &amp; Jiguet, F. Birds are tracking climate warming, but not fast enough.</w:t>
      </w:r>
      <w:r>
        <w:t xml:space="preserve"> </w:t>
      </w:r>
      <w:r>
        <w:rPr>
          <w:i/>
          <w:iCs/>
        </w:rPr>
        <w:t xml:space="preserve">Proc. R. Soc. B</w:t>
      </w:r>
      <w:r>
        <w:t xml:space="preserve"> </w:t>
      </w:r>
      <w:r>
        <w:rPr>
          <w:b/>
          <w:bCs/>
        </w:rPr>
        <w:t xml:space="preserve">275</w:t>
      </w:r>
      <w:r>
        <w:t xml:space="preserve">, 2743–2748 (2008). https://doi.org/10.1098/rspb.2008.0878</w:t>
      </w:r>
    </w:p>
    <w:p>
      <w:pPr>
        <w:pStyle w:val="Compact"/>
        <w:numPr>
          <w:ilvl w:val="0"/>
          <w:numId w:val="1001"/>
        </w:numPr>
      </w:pPr>
      <w:r>
        <w:t xml:space="preserve">Devictor, V. et al. Differences in the climatic debts of birds and butterflies at a continental scale.</w:t>
      </w:r>
      <w:r>
        <w:t xml:space="preserve"> </w:t>
      </w:r>
      <w:r>
        <w:rPr>
          <w:i/>
          <w:iCs/>
        </w:rPr>
        <w:t xml:space="preserve">Nat. Clim. Change</w:t>
      </w:r>
      <w:r>
        <w:t xml:space="preserve"> </w:t>
      </w:r>
      <w:r>
        <w:rPr>
          <w:b/>
          <w:bCs/>
        </w:rPr>
        <w:t xml:space="preserve">2</w:t>
      </w:r>
      <w:r>
        <w:t xml:space="preserve">, 121–124 (2012). https://doi.org/10.1038/nclimate1347</w:t>
      </w:r>
    </w:p>
    <w:p>
      <w:pPr>
        <w:pStyle w:val="Compact"/>
        <w:numPr>
          <w:ilvl w:val="0"/>
          <w:numId w:val="1001"/>
        </w:numPr>
      </w:pPr>
      <w:r>
        <w:t xml:space="preserve">La Sorte, F. A. &amp; Thompson, F. R. Poleward shifts in winter ranges of North American birds.</w:t>
      </w:r>
      <w:r>
        <w:t xml:space="preserve"> </w:t>
      </w:r>
      <w:r>
        <w:rPr>
          <w:i/>
          <w:iCs/>
        </w:rPr>
        <w:t xml:space="preserve">Ecology</w:t>
      </w:r>
      <w:r>
        <w:t xml:space="preserve"> </w:t>
      </w:r>
      <w:r>
        <w:rPr>
          <w:b/>
          <w:bCs/>
        </w:rPr>
        <w:t xml:space="preserve">88</w:t>
      </w:r>
      <w:r>
        <w:t xml:space="preserve">, 1803–1812 (2007). https://doi.org/10.1890/06-1072.1</w:t>
      </w:r>
    </w:p>
    <w:p>
      <w:pPr>
        <w:pStyle w:val="Compact"/>
        <w:numPr>
          <w:ilvl w:val="0"/>
          <w:numId w:val="1001"/>
        </w:numPr>
      </w:pPr>
      <w:r>
        <w:t xml:space="preserve">Loarie, S. R. et al. The velocity of climate change.</w:t>
      </w:r>
      <w:r>
        <w:t xml:space="preserve"> </w:t>
      </w:r>
      <w:r>
        <w:rPr>
          <w:i/>
          <w:iCs/>
        </w:rPr>
        <w:t xml:space="preserve">Nature</w:t>
      </w:r>
      <w:r>
        <w:t xml:space="preserve"> </w:t>
      </w:r>
      <w:r>
        <w:rPr>
          <w:b/>
          <w:bCs/>
        </w:rPr>
        <w:t xml:space="preserve">462</w:t>
      </w:r>
      <w:r>
        <w:t xml:space="preserve">, 1052–1055 (2009). https://doi.org/10.1038/nature08649</w:t>
      </w:r>
    </w:p>
    <w:p>
      <w:pPr>
        <w:pStyle w:val="Compact"/>
        <w:numPr>
          <w:ilvl w:val="0"/>
          <w:numId w:val="1001"/>
        </w:numPr>
      </w:pPr>
      <w:r>
        <w:t xml:space="preserve">Burrows, M. T. et al. The pace of shifting climate in marine and terrestrial ecosystems.</w:t>
      </w:r>
      <w:r>
        <w:t xml:space="preserve"> </w:t>
      </w:r>
      <w:r>
        <w:rPr>
          <w:i/>
          <w:iCs/>
        </w:rPr>
        <w:t xml:space="preserve">Science</w:t>
      </w:r>
      <w:r>
        <w:t xml:space="preserve"> </w:t>
      </w:r>
      <w:r>
        <w:rPr>
          <w:b/>
          <w:bCs/>
        </w:rPr>
        <w:t xml:space="preserve">334</w:t>
      </w:r>
      <w:r>
        <w:t xml:space="preserve">, 652–655 (2011). https://doi.org/10.1126/science.1210288</w:t>
      </w:r>
    </w:p>
    <w:p>
      <w:pPr>
        <w:pStyle w:val="Compact"/>
        <w:numPr>
          <w:ilvl w:val="0"/>
          <w:numId w:val="1001"/>
        </w:numPr>
      </w:pPr>
      <w:r>
        <w:t xml:space="preserve">Pinsky, M. L., Worm, B., Fogarty, M. J., Sarmiento, J. L. &amp; Levin, S. A. Marine taxa track local climate velocities.</w:t>
      </w:r>
      <w:r>
        <w:t xml:space="preserve"> </w:t>
      </w:r>
      <w:r>
        <w:rPr>
          <w:i/>
          <w:iCs/>
        </w:rPr>
        <w:t xml:space="preserve">Science</w:t>
      </w:r>
      <w:r>
        <w:t xml:space="preserve"> </w:t>
      </w:r>
      <w:r>
        <w:rPr>
          <w:b/>
          <w:bCs/>
        </w:rPr>
        <w:t xml:space="preserve">341</w:t>
      </w:r>
      <w:r>
        <w:t xml:space="preserve">, 1239–1242 (2013). https://doi.org/10.1126/science.1239352</w:t>
      </w:r>
    </w:p>
    <w:p>
      <w:pPr>
        <w:pStyle w:val="Compact"/>
        <w:numPr>
          <w:ilvl w:val="0"/>
          <w:numId w:val="1001"/>
        </w:numPr>
      </w:pPr>
      <w:r>
        <w:t xml:space="preserve">Poloczanska, E. S. et al. Global imprint of climate change on marine life.</w:t>
      </w:r>
      <w:r>
        <w:t xml:space="preserve"> </w:t>
      </w:r>
      <w:r>
        <w:rPr>
          <w:i/>
          <w:iCs/>
        </w:rPr>
        <w:t xml:space="preserve">Nat. Clim. Change</w:t>
      </w:r>
      <w:r>
        <w:t xml:space="preserve"> </w:t>
      </w:r>
      <w:r>
        <w:rPr>
          <w:b/>
          <w:bCs/>
        </w:rPr>
        <w:t xml:space="preserve">3</w:t>
      </w:r>
      <w:r>
        <w:t xml:space="preserve">, 919–925 (2013). https://doi.org/10.1038/nclimate1958</w:t>
      </w:r>
    </w:p>
    <w:p>
      <w:pPr>
        <w:pStyle w:val="Compact"/>
        <w:numPr>
          <w:ilvl w:val="0"/>
          <w:numId w:val="1001"/>
        </w:numPr>
      </w:pPr>
      <w:r>
        <w:t xml:space="preserve">Williams, J. W. &amp; Jackson, S. T. Novel climates, no-analog communities, and ecological surprises.</w:t>
      </w:r>
      <w:r>
        <w:t xml:space="preserve"> </w:t>
      </w:r>
      <w:r>
        <w:rPr>
          <w:i/>
          <w:iCs/>
        </w:rPr>
        <w:t xml:space="preserve">Front. Ecol. Environ.</w:t>
      </w:r>
      <w:r>
        <w:t xml:space="preserve"> </w:t>
      </w:r>
      <w:r>
        <w:rPr>
          <w:b/>
          <w:bCs/>
        </w:rPr>
        <w:t xml:space="preserve">5</w:t>
      </w:r>
      <w:r>
        <w:t xml:space="preserve">, 475–482 (2007). https://doi.org/10.1890/070037</w:t>
      </w:r>
    </w:p>
    <w:p>
      <w:pPr>
        <w:pStyle w:val="Compact"/>
        <w:numPr>
          <w:ilvl w:val="0"/>
          <w:numId w:val="1001"/>
        </w:numPr>
      </w:pPr>
      <w:r>
        <w:t xml:space="preserve">Mahony, C. R., Cannon, A. J., Wang, T. &amp; Aitken, S. N. A closer look at novel climates: new methods and insights at continental to landscape scales.</w:t>
      </w:r>
      <w:r>
        <w:t xml:space="preserve"> </w:t>
      </w:r>
      <w:r>
        <w:rPr>
          <w:i/>
          <w:iCs/>
        </w:rPr>
        <w:t xml:space="preserve">Glob. Change Biol.</w:t>
      </w:r>
      <w:r>
        <w:t xml:space="preserve"> </w:t>
      </w:r>
      <w:r>
        <w:rPr>
          <w:b/>
          <w:bCs/>
        </w:rPr>
        <w:t xml:space="preserve">23</w:t>
      </w:r>
      <w:r>
        <w:t xml:space="preserve">, 3934–3955 (2017). https://doi.org/10.1111/gcb.13645</w:t>
      </w:r>
    </w:p>
    <w:p>
      <w:pPr>
        <w:pStyle w:val="Compact"/>
        <w:numPr>
          <w:ilvl w:val="0"/>
          <w:numId w:val="1001"/>
        </w:numPr>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pStyle w:val="Compact"/>
        <w:numPr>
          <w:ilvl w:val="0"/>
          <w:numId w:val="1001"/>
        </w:numPr>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pStyle w:val="Compact"/>
        <w:numPr>
          <w:ilvl w:val="0"/>
          <w:numId w:val="1001"/>
        </w:numPr>
      </w:pPr>
      <w:r>
        <w:t xml:space="preserve">Xing, X. et al. Where are the provincial-level new records in China from the past 20 years?</w:t>
      </w:r>
      <w:r>
        <w:t xml:space="preserve"> </w:t>
      </w:r>
      <w:r>
        <w:rPr>
          <w:i/>
          <w:iCs/>
        </w:rPr>
        <w:t xml:space="preserve">Front. Ecol. Evol.</w:t>
      </w:r>
      <w:r>
        <w:t xml:space="preserve"> </w:t>
      </w:r>
      <w:r>
        <w:rPr>
          <w:b/>
          <w:bCs/>
        </w:rPr>
        <w:t xml:space="preserve">12</w:t>
      </w:r>
      <w:r>
        <w:t xml:space="preserve">, 1415268 (2024). https://doi.org/10.3389/fevo.2024.1415268</w:t>
      </w:r>
    </w:p>
    <w:p>
      <w:pPr>
        <w:pStyle w:val="Compact"/>
        <w:numPr>
          <w:ilvl w:val="0"/>
          <w:numId w:val="1001"/>
        </w:numPr>
      </w:pPr>
      <w:r>
        <w:t xml:space="preserve">Guillera-Arroita, G. Modelling of species distributions, range dynamics and communities under imperfect detection: advances, challenges and opportunities.</w:t>
      </w:r>
      <w:r>
        <w:t xml:space="preserve"> </w:t>
      </w:r>
      <w:r>
        <w:rPr>
          <w:i/>
          <w:iCs/>
        </w:rPr>
        <w:t xml:space="preserve">Ecography</w:t>
      </w:r>
      <w:r>
        <w:t xml:space="preserve"> </w:t>
      </w:r>
      <w:r>
        <w:rPr>
          <w:b/>
          <w:bCs/>
        </w:rPr>
        <w:t xml:space="preserve">40</w:t>
      </w:r>
      <w:r>
        <w:t xml:space="preserve">, 281–295 (2017). https://doi.org/10.1111/ecog.02445</w:t>
      </w:r>
    </w:p>
    <w:p>
      <w:pPr>
        <w:pStyle w:val="Compact"/>
        <w:numPr>
          <w:ilvl w:val="0"/>
          <w:numId w:val="1001"/>
        </w:numPr>
      </w:pPr>
      <w:r>
        <w:t xml:space="preserve">Rumpf, S. B. et al. Range dynamics of mountain plants decrease with elevation.</w:t>
      </w:r>
      <w:r>
        <w:t xml:space="preserve"> </w:t>
      </w:r>
      <w:r>
        <w:rPr>
          <w:i/>
          <w:iCs/>
        </w:rPr>
        <w:t xml:space="preserve">Proc. Natl Acad. Sci. USA</w:t>
      </w:r>
      <w:r>
        <w:t xml:space="preserve"> </w:t>
      </w:r>
      <w:r>
        <w:rPr>
          <w:b/>
          <w:bCs/>
        </w:rPr>
        <w:t xml:space="preserve">115</w:t>
      </w:r>
      <w:r>
        <w:t xml:space="preserve">, 1848–1853 (2018). https://doi.org/10.1073/pnas.1713936115</w:t>
      </w:r>
    </w:p>
    <w:p>
      <w:pPr>
        <w:pStyle w:val="Compact"/>
        <w:numPr>
          <w:ilvl w:val="0"/>
          <w:numId w:val="1001"/>
        </w:numPr>
      </w:pPr>
      <w:r>
        <w:t xml:space="preserve">Freeman, B. G., Scholer, M. N., Ruiz-Gutierrez, V. &amp; Fitzpatrick, J. W. Climate change causes upslope shifts and mountaintop extirpations in a tropical bird community.</w:t>
      </w:r>
      <w:r>
        <w:t xml:space="preserve"> </w:t>
      </w:r>
      <w:r>
        <w:rPr>
          <w:i/>
          <w:iCs/>
        </w:rPr>
        <w:t xml:space="preserve">Proc. Natl Acad. Sci. USA</w:t>
      </w:r>
      <w:r>
        <w:t xml:space="preserve"> </w:t>
      </w:r>
      <w:r>
        <w:rPr>
          <w:b/>
          <w:bCs/>
        </w:rPr>
        <w:t xml:space="preserve">115</w:t>
      </w:r>
      <w:r>
        <w:t xml:space="preserve">, 11982–11987 (2018). https://doi.org/10.1073/pnas.1804224115</w:t>
      </w:r>
    </w:p>
    <w:p>
      <w:pPr>
        <w:pStyle w:val="Compact"/>
        <w:numPr>
          <w:ilvl w:val="0"/>
          <w:numId w:val="1001"/>
        </w:numPr>
      </w:pPr>
      <w:r>
        <w:t xml:space="preserve">Mi, X. et al. The global significance of biodiversity science in China: an overview.</w:t>
      </w:r>
      <w:r>
        <w:t xml:space="preserve"> </w:t>
      </w:r>
      <w:r>
        <w:rPr>
          <w:i/>
          <w:iCs/>
        </w:rPr>
        <w:t xml:space="preserve">Natl Sci. Rev.</w:t>
      </w:r>
      <w:r>
        <w:t xml:space="preserve"> </w:t>
      </w:r>
      <w:r>
        <w:rPr>
          <w:b/>
          <w:bCs/>
        </w:rPr>
        <w:t xml:space="preserve">8</w:t>
      </w:r>
      <w:r>
        <w:t xml:space="preserve">, nwab032 (2021). https://doi.org/10.1093/nsr/nwab032</w:t>
      </w:r>
    </w:p>
    <w:p>
      <w:pPr>
        <w:pStyle w:val="Compact"/>
        <w:numPr>
          <w:ilvl w:val="0"/>
          <w:numId w:val="1001"/>
        </w:numPr>
      </w:pPr>
      <w:r>
        <w:t xml:space="preserve">Amano, T., Lamming, J. D. L. &amp; Sutherland, W. J. Spatial gaps in global biodiversity information and the role of citizen science.</w:t>
      </w:r>
      <w:r>
        <w:t xml:space="preserve"> </w:t>
      </w:r>
      <w:r>
        <w:rPr>
          <w:i/>
          <w:iCs/>
        </w:rPr>
        <w:t xml:space="preserve">BioScience</w:t>
      </w:r>
      <w:r>
        <w:t xml:space="preserve"> </w:t>
      </w:r>
      <w:r>
        <w:rPr>
          <w:b/>
          <w:bCs/>
        </w:rPr>
        <w:t xml:space="preserve">66</w:t>
      </w:r>
      <w:r>
        <w:t xml:space="preserve">, 393–400 (2016). https://doi.org/10.1093/biosci/biw022</w:t>
      </w:r>
    </w:p>
    <w:p>
      <w:pPr>
        <w:pStyle w:val="Compact"/>
        <w:numPr>
          <w:ilvl w:val="0"/>
          <w:numId w:val="1001"/>
        </w:numPr>
      </w:pPr>
      <w:r>
        <w:t xml:space="preserve">Callaghan, C. T., Poore, A. G. B., Major, R. E., Rowley, J. J. L. &amp; Cornwell, W. K. Optimizing future biodiversity sampling by citizen scientists.</w:t>
      </w:r>
      <w:r>
        <w:t xml:space="preserve"> </w:t>
      </w:r>
      <w:r>
        <w:rPr>
          <w:i/>
          <w:iCs/>
        </w:rPr>
        <w:t xml:space="preserve">Proc. R. Soc. B</w:t>
      </w:r>
      <w:r>
        <w:t xml:space="preserve"> </w:t>
      </w:r>
      <w:r>
        <w:rPr>
          <w:b/>
          <w:bCs/>
        </w:rPr>
        <w:t xml:space="preserve">286</w:t>
      </w:r>
      <w:r>
        <w:t xml:space="preserve">, 20191487 (2019). https://doi.org/10.1098/rspb.2019.1487</w:t>
      </w:r>
    </w:p>
    <w:p>
      <w:pPr>
        <w:pStyle w:val="Compact"/>
        <w:numPr>
          <w:ilvl w:val="0"/>
          <w:numId w:val="1001"/>
        </w:numPr>
      </w:pPr>
      <w:r>
        <w:t xml:space="preserve">Kelling, S. et al. Using semistructured surveys to improve citizen science data for monitoring biodiversity.</w:t>
      </w:r>
      <w:r>
        <w:t xml:space="preserve"> </w:t>
      </w:r>
      <w:r>
        <w:rPr>
          <w:i/>
          <w:iCs/>
        </w:rPr>
        <w:t xml:space="preserve">BioScience</w:t>
      </w:r>
      <w:r>
        <w:t xml:space="preserve"> </w:t>
      </w:r>
      <w:r>
        <w:rPr>
          <w:b/>
          <w:bCs/>
        </w:rPr>
        <w:t xml:space="preserve">69</w:t>
      </w:r>
      <w:r>
        <w:t xml:space="preserve">, 170–179 (2019). https://doi.org/10.1093/biosci/biz010</w:t>
      </w:r>
    </w:p>
    <w:p>
      <w:pPr>
        <w:pStyle w:val="Compact"/>
        <w:numPr>
          <w:ilvl w:val="0"/>
          <w:numId w:val="1001"/>
        </w:numPr>
      </w:pPr>
      <w:r>
        <w:t xml:space="preserve">Dickinson, J. L., Zuckerberg, B. &amp; Bonter, D. N. Citizen science as an ecological research tool: challenges and benefits.</w:t>
      </w:r>
      <w:r>
        <w:t xml:space="preserve"> </w:t>
      </w:r>
      <w:r>
        <w:rPr>
          <w:i/>
          <w:iCs/>
        </w:rPr>
        <w:t xml:space="preserve">Annu. Rev. Ecol. Evol. Syst.</w:t>
      </w:r>
      <w:r>
        <w:t xml:space="preserve"> </w:t>
      </w:r>
      <w:r>
        <w:rPr>
          <w:b/>
          <w:bCs/>
        </w:rPr>
        <w:t xml:space="preserve">41</w:t>
      </w:r>
      <w:r>
        <w:t xml:space="preserve">, 149–172 (2010). https://doi.org/10.1146/annurev-ecolsys-102209-144636</w:t>
      </w:r>
    </w:p>
    <w:p>
      <w:pPr>
        <w:pStyle w:val="Compact"/>
        <w:numPr>
          <w:ilvl w:val="0"/>
          <w:numId w:val="1001"/>
        </w:numPr>
      </w:pPr>
      <w:r>
        <w:t xml:space="preserve">Bowler, D. E. et al. Mapping human pressures on biodiversity across the planet uncovers anthropogenic threat complexes.</w:t>
      </w:r>
      <w:r>
        <w:t xml:space="preserve"> </w:t>
      </w:r>
      <w:r>
        <w:rPr>
          <w:i/>
          <w:iCs/>
        </w:rPr>
        <w:t xml:space="preserve">People Nat.</w:t>
      </w:r>
      <w:r>
        <w:t xml:space="preserve"> </w:t>
      </w:r>
      <w:r>
        <w:rPr>
          <w:b/>
          <w:bCs/>
        </w:rPr>
        <w:t xml:space="preserve">2</w:t>
      </w:r>
      <w:r>
        <w:t xml:space="preserve">, 380–394 (2020). https://doi.org/10.1002/pan3.10071</w:t>
      </w:r>
    </w:p>
    <w:p>
      <w:pPr>
        <w:pStyle w:val="Compact"/>
        <w:numPr>
          <w:ilvl w:val="0"/>
          <w:numId w:val="1001"/>
        </w:numPr>
      </w:pPr>
      <w:r>
        <w:t xml:space="preserve">Sunday, J. M., Bates, A. E. &amp; Dulvy, N. K. Thermal tolerance and the global redistribution of animals.</w:t>
      </w:r>
      <w:r>
        <w:t xml:space="preserve"> </w:t>
      </w:r>
      <w:r>
        <w:rPr>
          <w:i/>
          <w:iCs/>
        </w:rPr>
        <w:t xml:space="preserve">Nat. Clim. Change</w:t>
      </w:r>
      <w:r>
        <w:t xml:space="preserve"> </w:t>
      </w:r>
      <w:r>
        <w:rPr>
          <w:b/>
          <w:bCs/>
        </w:rPr>
        <w:t xml:space="preserve">2</w:t>
      </w:r>
      <w:r>
        <w:t xml:space="preserve">, 686–690 (2012). https://doi.org/10.1038/nclimate1539</w:t>
      </w:r>
    </w:p>
    <w:p>
      <w:pPr>
        <w:pStyle w:val="Compact"/>
        <w:numPr>
          <w:ilvl w:val="0"/>
          <w:numId w:val="1001"/>
        </w:numPr>
      </w:pPr>
      <w:r>
        <w:t xml:space="preserve">Guisan, A. &amp; Thuiller, W. Predicting species distribution: offering more than simple habitat models.</w:t>
      </w:r>
      <w:r>
        <w:t xml:space="preserve"> </w:t>
      </w:r>
      <w:r>
        <w:rPr>
          <w:i/>
          <w:iCs/>
        </w:rPr>
        <w:t xml:space="preserve">Ecol. Lett.</w:t>
      </w:r>
      <w:r>
        <w:t xml:space="preserve"> </w:t>
      </w:r>
      <w:r>
        <w:rPr>
          <w:b/>
          <w:bCs/>
        </w:rPr>
        <w:t xml:space="preserve">8</w:t>
      </w:r>
      <w:r>
        <w:t xml:space="preserve">, 993–1009 (2005). https://doi.org/10.1111/j.1461-0248.2005.00792.x</w:t>
      </w:r>
    </w:p>
    <w:p>
      <w:pPr>
        <w:pStyle w:val="Compact"/>
        <w:numPr>
          <w:ilvl w:val="0"/>
          <w:numId w:val="1001"/>
        </w:numPr>
      </w:pPr>
      <w:r>
        <w:t xml:space="preserve">Elith, J., Phillips, S. J., Hastie, T., Dudík, M., Chee, Y. E. &amp; Yates, C. J. A statistical explanation of MaxEnt for ecologists.</w:t>
      </w:r>
      <w:r>
        <w:t xml:space="preserve"> </w:t>
      </w:r>
      <w:r>
        <w:rPr>
          <w:i/>
          <w:iCs/>
        </w:rPr>
        <w:t xml:space="preserve">Divers. Distrib.</w:t>
      </w:r>
      <w:r>
        <w:t xml:space="preserve"> </w:t>
      </w:r>
      <w:r>
        <w:rPr>
          <w:b/>
          <w:bCs/>
        </w:rPr>
        <w:t xml:space="preserve">17</w:t>
      </w:r>
      <w:r>
        <w:t xml:space="preserve">, 43–57 (2011). https://doi.org/10.1111/j.1472-4642.2010.00725.x</w:t>
      </w:r>
    </w:p>
    <w:p>
      <w:pPr>
        <w:pStyle w:val="Compact"/>
        <w:numPr>
          <w:ilvl w:val="0"/>
          <w:numId w:val="1001"/>
        </w:numPr>
      </w:pPr>
      <w:r>
        <w:t xml:space="preserve">Guillera-Arroita, G. et al. Is my species distribution model fit for purpose? Matching data and models to applications.</w:t>
      </w:r>
      <w:r>
        <w:t xml:space="preserve"> </w:t>
      </w:r>
      <w:r>
        <w:rPr>
          <w:i/>
          <w:iCs/>
        </w:rPr>
        <w:t xml:space="preserve">Glob. Ecol. Biogeogr.</w:t>
      </w:r>
      <w:r>
        <w:t xml:space="preserve"> </w:t>
      </w:r>
      <w:r>
        <w:rPr>
          <w:b/>
          <w:bCs/>
        </w:rPr>
        <w:t xml:space="preserve">24</w:t>
      </w:r>
      <w:r>
        <w:t xml:space="preserve">, 276–292 (2015). https://doi.org/10.1111/geb.12268</w:t>
      </w:r>
    </w:p>
    <w:p>
      <w:pPr>
        <w:pStyle w:val="Compact"/>
        <w:numPr>
          <w:ilvl w:val="0"/>
          <w:numId w:val="1001"/>
        </w:numPr>
      </w:pPr>
      <w:r>
        <w:t xml:space="preserve">Phillips, S. J. et al. Sample selection bias and presence-only distribution models: implications for background and pseudo-absence data.</w:t>
      </w:r>
      <w:r>
        <w:t xml:space="preserve"> </w:t>
      </w:r>
      <w:r>
        <w:rPr>
          <w:i/>
          <w:iCs/>
        </w:rPr>
        <w:t xml:space="preserve">Ecol. Appl.</w:t>
      </w:r>
      <w:r>
        <w:t xml:space="preserve"> </w:t>
      </w:r>
      <w:r>
        <w:rPr>
          <w:b/>
          <w:bCs/>
        </w:rPr>
        <w:t xml:space="preserve">19</w:t>
      </w:r>
      <w:r>
        <w:t xml:space="preserve">, 181–197 (2009). https://doi.org/10.1890/07-2153.1</w:t>
      </w:r>
    </w:p>
    <w:p>
      <w:pPr>
        <w:pStyle w:val="Compact"/>
        <w:numPr>
          <w:ilvl w:val="0"/>
          <w:numId w:val="1001"/>
        </w:numPr>
      </w:pPr>
      <w:r>
        <w:t xml:space="preserve">Johnston, A. et al. Analytical guidelines to increase the value of community science data: an example using eBird data to estimate species distributions.</w:t>
      </w:r>
      <w:r>
        <w:t xml:space="preserve"> </w:t>
      </w:r>
      <w:r>
        <w:rPr>
          <w:i/>
          <w:iCs/>
        </w:rPr>
        <w:t xml:space="preserve">Divers. Distrib.</w:t>
      </w:r>
      <w:r>
        <w:t xml:space="preserve"> </w:t>
      </w:r>
      <w:r>
        <w:rPr>
          <w:b/>
          <w:bCs/>
        </w:rPr>
        <w:t xml:space="preserve">27</w:t>
      </w:r>
      <w:r>
        <w:t xml:space="preserve">, 1265–1277 (2021). https://doi.org/10.1111/ddi.13271</w:t>
      </w:r>
    </w:p>
    <w:p>
      <w:pPr>
        <w:pStyle w:val="Compact"/>
        <w:numPr>
          <w:ilvl w:val="0"/>
          <w:numId w:val="1001"/>
        </w:numPr>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pStyle w:val="Compact"/>
        <w:numPr>
          <w:ilvl w:val="0"/>
          <w:numId w:val="1001"/>
        </w:numPr>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pStyle w:val="Compact"/>
        <w:numPr>
          <w:ilvl w:val="0"/>
          <w:numId w:val="1001"/>
        </w:numPr>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pStyle w:val="Compact"/>
        <w:numPr>
          <w:ilvl w:val="0"/>
          <w:numId w:val="1001"/>
        </w:numPr>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pStyle w:val="Compact"/>
        <w:numPr>
          <w:ilvl w:val="0"/>
          <w:numId w:val="1001"/>
        </w:numPr>
      </w:pPr>
      <w:r>
        <w:t xml:space="preserve">Pebesma, E. Simple Features for R: standardized support for spatial vector data.</w:t>
      </w:r>
      <w:r>
        <w:t xml:space="preserve"> </w:t>
      </w:r>
      <w:r>
        <w:rPr>
          <w:i/>
          <w:iCs/>
        </w:rPr>
        <w:t xml:space="preserve">R J.</w:t>
      </w:r>
      <w:r>
        <w:t xml:space="preserve"> </w:t>
      </w:r>
      <w:r>
        <w:rPr>
          <w:b/>
          <w:bCs/>
        </w:rPr>
        <w:t xml:space="preserve">10</w:t>
      </w:r>
      <w:r>
        <w:t xml:space="preserve">, 439–446 (2018). https://doi.org/10.32614/RJ-2018-009</w:t>
      </w:r>
    </w:p>
    <w:p>
      <w:pPr>
        <w:pStyle w:val="Compact"/>
        <w:numPr>
          <w:ilvl w:val="0"/>
          <w:numId w:val="1001"/>
        </w:numPr>
      </w:pPr>
      <w:r>
        <w:t xml:space="preserve">Lenoir, J. et al. Species better track climate warming in the oceans than on land.</w:t>
      </w:r>
      <w:r>
        <w:t xml:space="preserve"> </w:t>
      </w:r>
      <w:r>
        <w:rPr>
          <w:i/>
          <w:iCs/>
        </w:rPr>
        <w:t xml:space="preserve">Nat. Ecol. Evol.</w:t>
      </w:r>
      <w:r>
        <w:t xml:space="preserve"> </w:t>
      </w:r>
      <w:r>
        <w:rPr>
          <w:b/>
          <w:bCs/>
        </w:rPr>
        <w:t xml:space="preserve">4</w:t>
      </w:r>
      <w:r>
        <w:t xml:space="preserve">, 1044–1059 (2020). https://doi.org/10.1038/s41559-020-1198-2</w:t>
      </w:r>
    </w:p>
    <w:p>
      <w:pPr>
        <w:pStyle w:val="Compact"/>
        <w:numPr>
          <w:ilvl w:val="0"/>
          <w:numId w:val="1001"/>
        </w:numPr>
      </w:pPr>
      <w:r>
        <w:t xml:space="preserve">Scheffers, B. R. et al. The broad footprint of climate change from genes to biomes to people.</w:t>
      </w:r>
      <w:r>
        <w:t xml:space="preserve"> </w:t>
      </w:r>
      <w:r>
        <w:rPr>
          <w:i/>
          <w:iCs/>
        </w:rPr>
        <w:t xml:space="preserve">Science</w:t>
      </w:r>
      <w:r>
        <w:t xml:space="preserve"> </w:t>
      </w:r>
      <w:r>
        <w:rPr>
          <w:b/>
          <w:bCs/>
        </w:rPr>
        <w:t xml:space="preserve">354</w:t>
      </w:r>
      <w:r>
        <w:t xml:space="preserve">, aaf7671 (2016). https://doi.org/10.1126/science.aaf7671</w:t>
      </w:r>
    </w:p>
    <w:p>
      <w:pPr>
        <w:pStyle w:val="Compact"/>
        <w:numPr>
          <w:ilvl w:val="0"/>
          <w:numId w:val="1001"/>
        </w:numPr>
      </w:pPr>
      <w:r>
        <w:t xml:space="preserve">Román-Palacios, C. &amp; Wiens, J. J. Recent responses to climate change reveal the drivers of species extinction and survival.</w:t>
      </w:r>
      <w:r>
        <w:t xml:space="preserve"> </w:t>
      </w:r>
      <w:r>
        <w:rPr>
          <w:i/>
          <w:iCs/>
        </w:rPr>
        <w:t xml:space="preserve">Proc. Natl Acad. Sci. USA</w:t>
      </w:r>
      <w:r>
        <w:t xml:space="preserve"> </w:t>
      </w:r>
      <w:r>
        <w:rPr>
          <w:b/>
          <w:bCs/>
        </w:rPr>
        <w:t xml:space="preserve">117</w:t>
      </w:r>
      <w:r>
        <w:t xml:space="preserve">, 4211–4217 (2020). https://doi.org/10.1073/pnas.1913007117</w:t>
      </w:r>
    </w:p>
    <w:p>
      <w:pPr>
        <w:pStyle w:val="Compact"/>
        <w:numPr>
          <w:ilvl w:val="0"/>
          <w:numId w:val="1001"/>
        </w:numPr>
      </w:pPr>
      <w:r>
        <w:t xml:space="preserve">Lehikoinen, A. et al. Declining population trends of European mountain birds.</w:t>
      </w:r>
      <w:r>
        <w:t xml:space="preserve"> </w:t>
      </w:r>
      <w:r>
        <w:rPr>
          <w:i/>
          <w:iCs/>
        </w:rPr>
        <w:t xml:space="preserve">Glob. Change Biol.</w:t>
      </w:r>
      <w:r>
        <w:t xml:space="preserve"> </w:t>
      </w:r>
      <w:r>
        <w:rPr>
          <w:b/>
          <w:bCs/>
        </w:rPr>
        <w:t xml:space="preserve">25</w:t>
      </w:r>
      <w:r>
        <w:t xml:space="preserve">, 577–588 (2019). https://doi.org/10.1111/gcb.14522</w:t>
      </w:r>
    </w:p>
    <w:p>
      <w:pPr>
        <w:pStyle w:val="Compact"/>
        <w:numPr>
          <w:ilvl w:val="0"/>
          <w:numId w:val="1001"/>
        </w:numPr>
      </w:pPr>
      <w:r>
        <w:t xml:space="preserve">Rosenberg, K. V. et al. Decline of the North American avifauna.</w:t>
      </w:r>
      <w:r>
        <w:t xml:space="preserve"> </w:t>
      </w:r>
      <w:r>
        <w:rPr>
          <w:i/>
          <w:iCs/>
        </w:rPr>
        <w:t xml:space="preserve">Science</w:t>
      </w:r>
      <w:r>
        <w:t xml:space="preserve"> </w:t>
      </w:r>
      <w:r>
        <w:rPr>
          <w:b/>
          <w:bCs/>
        </w:rPr>
        <w:t xml:space="preserve">366</w:t>
      </w:r>
      <w:r>
        <w:t xml:space="preserve">, 120–124 (2019). https://doi.org/10.1126/science.aaw1313</w:t>
      </w:r>
    </w:p>
    <w:p>
      <w:pPr>
        <w:pStyle w:val="Compact"/>
        <w:numPr>
          <w:ilvl w:val="0"/>
          <w:numId w:val="1001"/>
        </w:numPr>
      </w:pPr>
      <w:r>
        <w:t xml:space="preserve">van Strien, A. J., van Swaay, C. A. M. &amp; Termaat, T. Opportunistic citizen science data of animal species produce reliable estimates of distribution trends if analysed with occupancy models.</w:t>
      </w:r>
      <w:r>
        <w:t xml:space="preserve"> </w:t>
      </w:r>
      <w:r>
        <w:rPr>
          <w:i/>
          <w:iCs/>
        </w:rPr>
        <w:t xml:space="preserve">J. Appl. Ecol.</w:t>
      </w:r>
      <w:r>
        <w:t xml:space="preserve"> </w:t>
      </w:r>
      <w:r>
        <w:rPr>
          <w:b/>
          <w:bCs/>
        </w:rPr>
        <w:t xml:space="preserve">50</w:t>
      </w:r>
      <w:r>
        <w:t xml:space="preserve">, 1450–1458 (2013). https://doi.org/10.1111/1365-2664.12158</w:t>
      </w:r>
    </w:p>
    <w:p>
      <w:pPr>
        <w:pStyle w:val="Compact"/>
        <w:numPr>
          <w:ilvl w:val="0"/>
          <w:numId w:val="1001"/>
        </w:numPr>
      </w:pPr>
      <w:r>
        <w:t xml:space="preserve">Kéry, M., Royle, J. A., Schmid, H. et al. Importance of sampling design and analysis in animal population studies.</w:t>
      </w:r>
      <w:r>
        <w:t xml:space="preserve"> </w:t>
      </w:r>
      <w:r>
        <w:rPr>
          <w:i/>
          <w:iCs/>
        </w:rPr>
        <w:t xml:space="preserve">J. Appl. Ecol.</w:t>
      </w:r>
      <w:r>
        <w:t xml:space="preserve"> </w:t>
      </w:r>
      <w:r>
        <w:rPr>
          <w:b/>
          <w:bCs/>
        </w:rPr>
        <w:t xml:space="preserve">45</w:t>
      </w:r>
      <w:r>
        <w:t xml:space="preserve">, 981–986 (2008). https://doi.org/10.1111/j.1365-2664.2007.01421.x</w:t>
      </w:r>
    </w:p>
    <w:p>
      <w:pPr>
        <w:pStyle w:val="Compact"/>
        <w:numPr>
          <w:ilvl w:val="0"/>
          <w:numId w:val="1001"/>
        </w:numPr>
      </w:pPr>
      <w:r>
        <w:t xml:space="preserve">Steen, V. A., Elphick, C. S. &amp; Tingley, M. W. An evaluation of stringent filtering to improve species distribution models from citizen science data.</w:t>
      </w:r>
      <w:r>
        <w:t xml:space="preserve"> </w:t>
      </w:r>
      <w:r>
        <w:rPr>
          <w:i/>
          <w:iCs/>
        </w:rPr>
        <w:t xml:space="preserve">Divers. Distrib.</w:t>
      </w:r>
      <w:r>
        <w:t xml:space="preserve"> </w:t>
      </w:r>
      <w:r>
        <w:rPr>
          <w:b/>
          <w:bCs/>
        </w:rPr>
        <w:t xml:space="preserve">25</w:t>
      </w:r>
      <w:r>
        <w:t xml:space="preserve">, 1857–1869 (2019). https://doi.org/10.1111/ddi.12985</w:t>
      </w:r>
    </w:p>
    <w:p>
      <w:pPr>
        <w:pStyle w:val="Compact"/>
        <w:numPr>
          <w:ilvl w:val="0"/>
          <w:numId w:val="1001"/>
        </w:numPr>
      </w:pPr>
      <w:r>
        <w:t xml:space="preserve">Fink, D. et al. Modeling avian full annual cycle distribution and population trends with citizen science data.</w:t>
      </w:r>
      <w:r>
        <w:t xml:space="preserve"> </w:t>
      </w:r>
      <w:r>
        <w:rPr>
          <w:i/>
          <w:iCs/>
        </w:rPr>
        <w:t xml:space="preserve">Ecol. Appl.</w:t>
      </w:r>
      <w:r>
        <w:t xml:space="preserve"> </w:t>
      </w:r>
      <w:r>
        <w:rPr>
          <w:b/>
          <w:bCs/>
        </w:rPr>
        <w:t xml:space="preserve">30</w:t>
      </w:r>
      <w:r>
        <w:t xml:space="preserve">, e02056 (2020). https://doi.org/10.1002/eap.2056</w:t>
      </w:r>
    </w:p>
    <w:p>
      <w:pPr>
        <w:pStyle w:val="Compact"/>
        <w:numPr>
          <w:ilvl w:val="0"/>
          <w:numId w:val="1001"/>
        </w:numPr>
      </w:pPr>
      <w:r>
        <w:t xml:space="preserve">Zizka, A. et al. CoordinateCleaner: standardized cleaning of occurrence records from biological collection databases.</w:t>
      </w:r>
      <w:r>
        <w:t xml:space="preserve"> </w:t>
      </w:r>
      <w:r>
        <w:rPr>
          <w:i/>
          <w:iCs/>
        </w:rPr>
        <w:t xml:space="preserve">Methods Ecol. Evol.</w:t>
      </w:r>
      <w:r>
        <w:t xml:space="preserve"> </w:t>
      </w:r>
      <w:r>
        <w:rPr>
          <w:b/>
          <w:bCs/>
        </w:rPr>
        <w:t xml:space="preserve">10</w:t>
      </w:r>
      <w:r>
        <w:t xml:space="preserve">, 744–751 (2019). https://doi.org/10.1111/2041-210X.13152</w:t>
      </w:r>
    </w:p>
    <w:p>
      <w:pPr>
        <w:pStyle w:val="Compact"/>
        <w:numPr>
          <w:ilvl w:val="0"/>
          <w:numId w:val="1001"/>
        </w:numPr>
      </w:pPr>
      <w:r>
        <w:t xml:space="preserve">Bird, T. J. et al. Statistical solutions for error and bias in global citizen science datasets.</w:t>
      </w:r>
      <w:r>
        <w:t xml:space="preserve"> </w:t>
      </w:r>
      <w:r>
        <w:rPr>
          <w:i/>
          <w:iCs/>
        </w:rPr>
        <w:t xml:space="preserve">Biol. Conserv.</w:t>
      </w:r>
      <w:r>
        <w:t xml:space="preserve"> </w:t>
      </w:r>
      <w:r>
        <w:rPr>
          <w:b/>
          <w:bCs/>
        </w:rPr>
        <w:t xml:space="preserve">173</w:t>
      </w:r>
      <w:r>
        <w:t xml:space="preserve">, 144–154 (2014). https://doi.org/10.1016/j.biocon.2013.07.037</w:t>
      </w:r>
    </w:p>
    <w:p>
      <w:pPr>
        <w:pStyle w:val="Compact"/>
        <w:numPr>
          <w:ilvl w:val="0"/>
          <w:numId w:val="1001"/>
        </w:numPr>
      </w:pPr>
      <w:r>
        <w:t xml:space="preserve">Sofaer, H. R. et al. Development and delivery of species distribution models to inform decision-making.</w:t>
      </w:r>
      <w:r>
        <w:t xml:space="preserve"> </w:t>
      </w:r>
      <w:r>
        <w:rPr>
          <w:i/>
          <w:iCs/>
        </w:rPr>
        <w:t xml:space="preserve">BioScience</w:t>
      </w:r>
      <w:r>
        <w:t xml:space="preserve"> </w:t>
      </w:r>
      <w:r>
        <w:rPr>
          <w:b/>
          <w:bCs/>
        </w:rPr>
        <w:t xml:space="preserve">69</w:t>
      </w:r>
      <w:r>
        <w:t xml:space="preserve">, 544–557 (2019). https://doi.org/10.1093/biosci/biz045</w:t>
      </w:r>
    </w:p>
    <w:p>
      <w:pPr>
        <w:pStyle w:val="Compact"/>
        <w:numPr>
          <w:ilvl w:val="0"/>
          <w:numId w:val="1001"/>
        </w:numPr>
      </w:pPr>
      <w:r>
        <w:t xml:space="preserve">Hurlbert, A. H. &amp; Liang, Z. Spatiotemporal variation in avian migration phenology: citizen science reveals effects of climate change.</w:t>
      </w:r>
      <w:r>
        <w:t xml:space="preserve"> </w:t>
      </w:r>
      <w:r>
        <w:rPr>
          <w:i/>
          <w:iCs/>
        </w:rPr>
        <w:t xml:space="preserve">PLoS ONE</w:t>
      </w:r>
      <w:r>
        <w:t xml:space="preserve"> </w:t>
      </w:r>
      <w:r>
        <w:rPr>
          <w:b/>
          <w:bCs/>
        </w:rPr>
        <w:t xml:space="preserve">7</w:t>
      </w:r>
      <w:r>
        <w:t xml:space="preserve">, e31662 (2012). https://doi.org/10.1371/journal.pone.0031662</w:t>
      </w:r>
    </w:p>
    <w:p>
      <w:pPr>
        <w:pStyle w:val="Compact"/>
        <w:numPr>
          <w:ilvl w:val="0"/>
          <w:numId w:val="1001"/>
        </w:numPr>
      </w:pPr>
      <w:r>
        <w:t xml:space="preserve">Thomas, C. D. Climate, climate change and range boundaries.</w:t>
      </w:r>
      <w:r>
        <w:t xml:space="preserve"> </w:t>
      </w:r>
      <w:r>
        <w:rPr>
          <w:i/>
          <w:iCs/>
        </w:rPr>
        <w:t xml:space="preserve">Divers. Distrib.</w:t>
      </w:r>
      <w:r>
        <w:t xml:space="preserve"> </w:t>
      </w:r>
      <w:r>
        <w:rPr>
          <w:b/>
          <w:bCs/>
        </w:rPr>
        <w:t xml:space="preserve">16</w:t>
      </w:r>
      <w:r>
        <w:t xml:space="preserve">, 488–495 (2010). https://doi.org/10.1111/j.1472-4642.2010.00642.x</w:t>
      </w:r>
    </w:p>
    <w:p>
      <w:pPr>
        <w:pStyle w:val="Compact"/>
        <w:numPr>
          <w:ilvl w:val="0"/>
          <w:numId w:val="1001"/>
        </w:numPr>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pStyle w:val="Compact"/>
        <w:numPr>
          <w:ilvl w:val="0"/>
          <w:numId w:val="1001"/>
        </w:numPr>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pStyle w:val="Compact"/>
        <w:numPr>
          <w:ilvl w:val="0"/>
          <w:numId w:val="1001"/>
        </w:numPr>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pStyle w:val="Compact"/>
        <w:numPr>
          <w:ilvl w:val="0"/>
          <w:numId w:val="1001"/>
        </w:numPr>
      </w:pPr>
      <w:r>
        <w:t xml:space="preserve">Zurell, D., Elith, J. &amp; Schröder, B. Predicting to new environments: tools for visualizing model behaviour and impacts on mapped distributions.</w:t>
      </w:r>
      <w:r>
        <w:t xml:space="preserve"> </w:t>
      </w:r>
      <w:r>
        <w:rPr>
          <w:i/>
          <w:iCs/>
        </w:rPr>
        <w:t xml:space="preserve">Divers. Distrib.</w:t>
      </w:r>
      <w:r>
        <w:t xml:space="preserve"> </w:t>
      </w:r>
      <w:r>
        <w:rPr>
          <w:b/>
          <w:bCs/>
        </w:rPr>
        <w:t xml:space="preserve">18</w:t>
      </w:r>
      <w:r>
        <w:t xml:space="preserve">, 628–634 (2012). https://doi.org/10.1111/j.1472-4642.2012.00887.x</w:t>
      </w:r>
    </w:p>
    <w:p>
      <w:pPr>
        <w:pStyle w:val="Compact"/>
        <w:numPr>
          <w:ilvl w:val="0"/>
          <w:numId w:val="1001"/>
        </w:numPr>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pStyle w:val="Compact"/>
        <w:numPr>
          <w:ilvl w:val="0"/>
          <w:numId w:val="1001"/>
        </w:numPr>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p>
      <w:pPr>
        <w:pStyle w:val="Compact"/>
        <w:numPr>
          <w:ilvl w:val="0"/>
          <w:numId w:val="1001"/>
        </w:numPr>
      </w:pPr>
      <w:r>
        <w:t xml:space="preserve">Hartig, F. DHARMa: residual diagnostics for hierarchical (multi-level/mixed) regression models. R package version 0.4 (2024). https://CRAN.R-project.org/package=DHARMa</w:t>
      </w:r>
    </w:p>
    <w:p>
      <w:pPr>
        <w:pStyle w:val="Compact"/>
        <w:numPr>
          <w:ilvl w:val="0"/>
          <w:numId w:val="1001"/>
        </w:numPr>
      </w:pPr>
      <w:r>
        <w:t xml:space="preserve">Barr, D. J., Levy, R., Scheepers, C. &amp; Tily, H. J. Random effects structure for confirmatory hypothesis testing: keep it maximal.</w:t>
      </w:r>
      <w:r>
        <w:t xml:space="preserve"> </w:t>
      </w:r>
      <w:r>
        <w:rPr>
          <w:i/>
          <w:iCs/>
        </w:rPr>
        <w:t xml:space="preserve">J. Mem. Lang.</w:t>
      </w:r>
      <w:r>
        <w:t xml:space="preserve"> </w:t>
      </w:r>
      <w:r>
        <w:rPr>
          <w:b/>
          <w:bCs/>
        </w:rPr>
        <w:t xml:space="preserve">68</w:t>
      </w:r>
      <w:r>
        <w:t xml:space="preserve">, 255–278 (2013). https://doi.org/10.1016/j.jml.2012.11.001</w:t>
      </w:r>
    </w:p>
    <w:p>
      <w:pPr>
        <w:pStyle w:val="Compact"/>
        <w:numPr>
          <w:ilvl w:val="0"/>
          <w:numId w:val="1001"/>
        </w:numPr>
      </w:pPr>
      <w:r>
        <w:t xml:space="preserve">Schielzeth, H. &amp; Forstmeier, W. Conclusions beyond support: overconfident estimates in mixed models.</w:t>
      </w:r>
      <w:r>
        <w:t xml:space="preserve"> </w:t>
      </w:r>
      <w:r>
        <w:rPr>
          <w:i/>
          <w:iCs/>
        </w:rPr>
        <w:t xml:space="preserve">Behav. Ecol.</w:t>
      </w:r>
      <w:r>
        <w:t xml:space="preserve"> </w:t>
      </w:r>
      <w:r>
        <w:rPr>
          <w:b/>
          <w:bCs/>
        </w:rPr>
        <w:t xml:space="preserve">20</w:t>
      </w:r>
      <w:r>
        <w:t xml:space="preserve">, 416–420 (2009). https://doi.org/10.1093/beheco/arn145</w:t>
      </w:r>
    </w:p>
    <w:p>
      <w:pPr>
        <w:pStyle w:val="Compact"/>
        <w:numPr>
          <w:ilvl w:val="0"/>
          <w:numId w:val="1001"/>
        </w:numPr>
      </w:pPr>
      <w:r>
        <w:t xml:space="preserve">Tredennick, A. T., Hooker, G., Ellner, S. P. &amp; Adler, P. B. A practical guide to selecting models for exploration, inference, and prediction in ecology.</w:t>
      </w:r>
      <w:r>
        <w:t xml:space="preserve"> </w:t>
      </w:r>
      <w:r>
        <w:rPr>
          <w:i/>
          <w:iCs/>
        </w:rPr>
        <w:t xml:space="preserve">Ecology</w:t>
      </w:r>
      <w:r>
        <w:t xml:space="preserve"> </w:t>
      </w:r>
      <w:r>
        <w:rPr>
          <w:b/>
          <w:bCs/>
        </w:rPr>
        <w:t xml:space="preserve">102</w:t>
      </w:r>
      <w:r>
        <w:t xml:space="preserve">, e03336 (2021). https://doi.org/10.1002/ecy.3336</w:t>
      </w:r>
    </w:p>
    <w:p>
      <w:pPr>
        <w:pStyle w:val="Compact"/>
        <w:numPr>
          <w:ilvl w:val="0"/>
          <w:numId w:val="1001"/>
        </w:numPr>
      </w:pPr>
      <w:r>
        <w:t xml:space="preserve">Mundlak, Y. On the pooling of time series and cross section data.</w:t>
      </w:r>
      <w:r>
        <w:t xml:space="preserve"> </w:t>
      </w:r>
      <w:r>
        <w:rPr>
          <w:i/>
          <w:iCs/>
        </w:rPr>
        <w:t xml:space="preserve">Econometrica</w:t>
      </w:r>
      <w:r>
        <w:t xml:space="preserve"> </w:t>
      </w:r>
      <w:r>
        <w:rPr>
          <w:b/>
          <w:bCs/>
        </w:rPr>
        <w:t xml:space="preserve">46</w:t>
      </w:r>
      <w:r>
        <w:t xml:space="preserve">, 69–85 (1978). https://doi.org/10.2307/1913646</w:t>
      </w:r>
    </w:p>
    <w:p>
      <w:pPr>
        <w:pStyle w:val="FirstParagraph"/>
      </w:pPr>
      <w:r>
        <w:rPr>
          <w:i/>
          <w:iCs/>
        </w:rPr>
        <w:t xml:space="preserve">In-text superscripts [A1]–[A6] refer to references 72, 73, 74, 76, 77 and 78 respectively. All digital object identifiers were verified against Crossref on 26 July 2026. Reference 25 is a companion data descriptor currently under review and will be updated on acceptance.</w:t>
      </w:r>
    </w:p>
    <w:p>
      <w:r>
        <w:pict>
          <v:rect style="width:0;height:1.5pt" o:hralign="center" o:hrstd="t" o:hr="t"/>
        </w:pict>
      </w:r>
    </w:p>
    <w:bookmarkEnd w:id="28"/>
    <w:bookmarkStart w:id="41" w:name="methods"/>
    <w:p>
      <w:pPr>
        <w:pStyle w:val="Heading2"/>
      </w:pPr>
      <w:r>
        <w:t xml:space="preserve">Methods</w:t>
      </w:r>
    </w:p>
    <w:bookmarkStart w:id="29" w:name="event-data-and-dating"/>
    <w:p>
      <w:pPr>
        <w:pStyle w:val="Heading3"/>
      </w:pPr>
      <w:r>
        <w:t xml:space="preserve">Event data and dating</w:t>
      </w:r>
    </w:p>
    <w:p>
      <w:pPr>
        <w:pStyle w:val="FirstParagraph"/>
      </w:pPr>
      <w:r>
        <w:t xml:space="preserve">New provincial-level bird distribution records for China were taken from the released compilation of 1,029 records covering 2000–2025</w:t>
      </w:r>
      <w:r>
        <w:rPr>
          <w:vertAlign w:val="superscript"/>
        </w:rPr>
        <w:t xml:space="preserve">25</w:t>
      </w:r>
      <w:r>
        <w:t xml:space="preserve">.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29"/>
    <w:bookmarkStart w:id="30"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30"/>
    <w:bookmarkStart w:id="31"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31"/>
    <w:bookmarkStart w:id="32"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w:t>
      </w:r>
      <w:r>
        <w:rPr>
          <w:vertAlign w:val="superscript"/>
        </w:rPr>
        <w:t xml:space="preserve">53,54</w:t>
      </w:r>
      <w:r>
        <w:t xml:space="preserve">.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32"/>
    <w:bookmarkStart w:id="33" w:name="survey-effort"/>
    <w:p>
      <w:pPr>
        <w:pStyle w:val="Heading3"/>
      </w:pPr>
      <w:r>
        <w:t xml:space="preserve">Survey effort</w:t>
      </w:r>
    </w:p>
    <w:p>
      <w:pPr>
        <w:pStyle w:val="FirstParagraph"/>
      </w:pPr>
      <w:r>
        <w:t xml:space="preserve">Provincial annual survey effort was compiled from integrated observation records and expressed through four proxies: number of visits, number of distinct observers, number of birding days and number of records. Thirty-nine province-years (Hong Kong, Macao and Taiwan) have no coverage in the source database.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w:t>
      </w:r>
    </w:p>
    <w:bookmarkEnd w:id="33"/>
    <w:bookmarkStart w:id="35"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w:t>
      </w:r>
      <w:r>
        <w:rPr>
          <w:rStyle w:val="FootnoteReference"/>
        </w:rPr>
        <w:footnoteReference w:id="34"/>
      </w:r>
      <w:r>
        <w:t xml:space="preserve">,55^:</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w:t>
      </w:r>
      <w:r>
        <w:rPr>
          <w:vertAlign w:val="superscript"/>
        </w:rPr>
        <w:t xml:space="preserve">55</w:t>
      </w:r>
      <w:r>
        <w:t xml:space="preserve">.</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w:t>
      </w:r>
      <w:r>
        <w:rPr>
          <w:vertAlign w:val="superscript"/>
        </w:rPr>
        <w:t xml:space="preserve">56</w:t>
      </w:r>
      <w:r>
        <w:t xml:space="preserve">, and marginal and conditional AUC); variance-component identifiability; and the ecological interpretability of each term. The structure reported above was frozen before the robustness analyses were run.</w:t>
      </w:r>
    </w:p>
    <w:bookmarkEnd w:id="35"/>
    <w:bookmarkStart w:id="36" w:name="resampling-and-null-models"/>
    <w:p>
      <w:pPr>
        <w:pStyle w:val="Heading3"/>
      </w:pPr>
      <w:r>
        <w:t xml:space="preserve">Resampling and null models</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36"/>
    <w:bookmarkStart w:id="38" w:name="diagnostics"/>
    <w:p>
      <w:pPr>
        <w:pStyle w:val="Heading3"/>
      </w:pPr>
      <w:r>
        <w:t xml:space="preserve">Diagnostics</w:t>
      </w:r>
    </w:p>
    <w:p>
      <w:pPr>
        <w:pStyle w:val="FirstParagraph"/>
      </w:pPr>
      <w:r>
        <w:t xml:space="preserve">Residual diagnostics used simulation-based scaled residuals with 500 simulations</w:t>
      </w:r>
      <w:r>
        <w:rPr>
          <w:rStyle w:val="FootnoteReference"/>
        </w:rPr>
        <w:footnoteReference w:id="37"/>
      </w:r>
      <w:r>
        <w:t xml:space="preserve">^: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38"/>
    <w:bookmarkStart w:id="39"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 A gradient-boosted comparison model (XGBoost, 400 rounds, learning rate 0.05, depth 4)</w:t>
      </w:r>
      <w:r>
        <w:rPr>
          <w:vertAlign w:val="superscript"/>
        </w:rPr>
        <w:t xml:space="preserve">36</w:t>
      </w:r>
      <w:r>
        <w:t xml:space="preserve"> </w:t>
      </w:r>
      <w:r>
        <w:t xml:space="preserve">was trained on the same three predictors, and exact TreeSHAP attributions were computed for interpretation</w:t>
      </w:r>
      <w:r>
        <w:rPr>
          <w:vertAlign w:val="superscript"/>
        </w:rPr>
        <w:t xml:space="preserve">35</w:t>
      </w:r>
      <w:r>
        <w:t xml:space="preserve">.</w:t>
      </w:r>
    </w:p>
    <w:bookmarkEnd w:id="39"/>
    <w:bookmarkStart w:id="40" w:name="data-and-code-availability"/>
    <w:p>
      <w:pPr>
        <w:pStyle w:val="Heading3"/>
      </w:pPr>
      <w:r>
        <w:t xml:space="preserve">Data and code availability</w:t>
      </w:r>
    </w:p>
    <w:p>
      <w:pPr>
        <w:pStyle w:val="FirstParagraph"/>
      </w:pPr>
      <w:r>
        <w:t xml:space="preserve">All modelling data, analysis code, result tables, figures in four formats including editable PowerPoint, and this manuscript are archived in the accompanying repository. Species range polygons (BirdLife International) and CRU TS climate surfaces are third-party licensed and are not redistributed; paths to local copies are configured in</w:t>
      </w:r>
      <w:r>
        <w:t xml:space="preserve"> </w:t>
      </w:r>
      <w:r>
        <w:rPr>
          <w:rStyle w:val="VerbatimChar"/>
        </w:rPr>
        <w:t xml:space="preserve">config.R</w:t>
      </w:r>
      <w:r>
        <w:t xml:space="preserve">. A smoke test reproduces the headline coefficients from the shipped data in approximately two minutes.</w:t>
      </w:r>
    </w:p>
    <w:p>
      <w:r>
        <w:pict>
          <v:rect style="width:0;height:1.5pt" o:hralign="center" o:hrstd="t" o:hr="t"/>
        </w:pict>
      </w:r>
    </w:p>
    <w:bookmarkEnd w:id="40"/>
    <w:bookmarkEnd w:id="41"/>
    <w:bookmarkEnd w:id="42"/>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A1,A2</w:t>
      </w:r>
    </w:p>
  </w:footnote>
  <w:footnote w:id="26">
    <w:p>
      <w:pPr>
        <w:pStyle w:val="FootnoteText"/>
      </w:pPr>
      <w:r>
        <w:rPr>
          <w:rStyle w:val="FootnoteReference"/>
        </w:rPr>
        <w:footnoteRef/>
      </w:r>
      <w:r>
        <w:t xml:space="preserve"> </w:t>
      </w:r>
      <w:r>
        <w:t xml:space="preserve">A3–A5</w:t>
      </w:r>
    </w:p>
  </w:footnote>
  <w:footnote w:id="34">
    <w:p>
      <w:pPr>
        <w:pStyle w:val="FootnoteText"/>
      </w:pPr>
      <w:r>
        <w:rPr>
          <w:rStyle w:val="FootnoteReference"/>
        </w:rPr>
        <w:footnoteRef/>
      </w:r>
      <w:r>
        <w:t xml:space="preserve"> </w:t>
      </w:r>
      <w:r>
        <w:t xml:space="preserve">A1,A2</w:t>
      </w:r>
    </w:p>
  </w:footnote>
  <w:footnote w:id="37">
    <w:p>
      <w:pPr>
        <w:pStyle w:val="FootnoteText"/>
      </w:pPr>
      <w:r>
        <w:rPr>
          <w:rStyle w:val="FootnoteReference"/>
        </w:rPr>
        <w:footnoteRef/>
      </w:r>
      <w:r>
        <w:t xml:space="preserve"> </w:t>
      </w:r>
      <w:r>
        <w:t xml:space="preserve">A6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2026-10-14T01:34:34Z</dcterms:created>
  <dcterms:modified xsi:type="dcterms:W3CDTF">2026-10-14T01:34:34Z</dcterms:modified>
</cp:coreProperties>
</file>