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d3139f8bde304bf308aef83d90e6434e026acc4"/>
    <w:p>
      <w:pPr>
        <w:pStyle w:val="Heading1"/>
      </w:pPr>
      <w:r>
        <w:t xml:space="preserve">Nature Portfolio Reporting Summary — draft answers (NEE / NC)</w:t>
      </w:r>
    </w:p>
    <w:p>
      <w:pPr>
        <w:pStyle w:val="FirstParagraph"/>
      </w:pPr>
      <w:r>
        <w:rPr>
          <w:i/>
          <w:iCs/>
        </w:rPr>
        <w:t xml:space="preserve">Paste each answer into the official fillable form (Adobe Reader required; flat reference copy:</w:t>
      </w:r>
      <w:r>
        <w:rPr>
          <w:i/>
          <w:iCs/>
        </w:rPr>
        <w:t xml:space="preserve"> </w:t>
      </w:r>
      <w:r>
        <w:rPr>
          <w:i/>
          <w:iCs/>
        </w:rPr>
        <w:t xml:space="preserve">https://www.nature.com/documents/nr-reporting-summary-flat.pdf). Items marked [AUTHORS] need</w:t>
      </w:r>
      <w:r>
        <w:rPr>
          <w:i/>
          <w:iCs/>
        </w:rPr>
        <w:t xml:space="preserve"> </w:t>
      </w:r>
      <w:r>
        <w:rPr>
          <w:i/>
          <w:iCs/>
        </w:rPr>
        <w:t xml:space="preserve">author input. Prepared 2026-09-24 against the current form structure.</w:t>
      </w:r>
    </w:p>
    <w:bookmarkStart w:id="9" w:name="statistics"/>
    <w:p>
      <w:pPr>
        <w:pStyle w:val="Heading2"/>
      </w:pPr>
      <w:r>
        <w:t xml:space="preserve">Statistics</w:t>
      </w:r>
    </w:p>
    <w:p>
      <w:pPr>
        <w:pStyle w:val="FirstParagraph"/>
      </w:pPr>
      <w:r>
        <w:t xml:space="preserve">For all statistical analyses, the following items are present in the figure legends, table legends, main text or Methods: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8" w:color="auto"/>
          <w:bottom w:val="single" w:sz="8" w:color="auto"/>
          <w:left w:val="none" w:sz="0" w:color="auto"/>
          <w:right w:val="none" w:sz="0" w:color="auto"/>
          <w:insideH w:val="none" w:sz="0" w:color="auto"/>
          <w:insideV w:val="none" w:sz="0" w:color="auto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4" w:color="auto"/>
            </w:tcBorders>
            <w:vAlign w:val="center"/>
          </w:tcPr>
          <w:p>
            <w:pPr>
              <w:pStyle w:val="Compact"/>
            </w:pPr>
            <w:r>
              <w:rPr>
                <w:b/>
              </w:rPr>
              <w:t xml:space="preserve">Item</w:t>
            </w:r>
          </w:p>
        </w:tc>
        <w:tc>
          <w:tcPr>
            <w:tcBorders>
              <w:bottom w:val="single" w:sz="4" w:color="auto"/>
            </w:tcBorders>
            <w:vAlign w:val="center"/>
          </w:tcPr>
          <w:p>
            <w:pPr>
              <w:pStyle w:val="Compact"/>
            </w:pPr>
            <w:r>
              <w:rPr>
                <w:b/>
              </w:rPr>
              <w:t xml:space="preserve">Status</w:t>
            </w:r>
          </w:p>
        </w:tc>
        <w:tc>
          <w:tcPr>
            <w:tcBorders>
              <w:bottom w:val="single" w:sz="4" w:color="auto"/>
            </w:tcBorders>
            <w:vAlign w:val="center"/>
          </w:tcPr>
          <w:p>
            <w:pPr>
              <w:pStyle w:val="Compact"/>
            </w:pPr>
            <w:r>
              <w:rPr>
                <w:b/>
              </w:rPr>
              <w:t xml:space="preserve">Where</w:t>
            </w:r>
          </w:p>
        </w:tc>
      </w:tr>
      <w:tr>
        <w:tc>
          <w:tcPr>
            <w:vAlign w:val="center"/>
          </w:tcPr>
          <w:p>
            <w:pPr>
              <w:pStyle w:val="Compact"/>
            </w:pPr>
            <w:r>
              <w:t xml:space="preserve">Exact sample size (n) as a discrete number and unit</w:t>
            </w:r>
          </w:p>
        </w:tc>
        <w:tc>
          <w:tcPr>
            <w:vAlign w:val="center"/>
          </w:tcPr>
          <w:p>
            <w:pPr>
              <w:pStyle w:val="Compact"/>
            </w:pPr>
            <w:r>
              <w:t xml:space="preserve">Confirmed</w:t>
            </w:r>
          </w:p>
        </w:tc>
        <w:tc>
          <w:tcPr>
            <w:vAlign w:val="center"/>
          </w:tcPr>
          <w:p>
            <w:pPr>
              <w:pStyle w:val="Compact"/>
            </w:pPr>
            <w:r>
              <w:t xml:space="preserve">Table 1 and Methods:</w:t>
            </w:r>
            <w:r>
              <w:t xml:space="preserve"> </w:t>
            </w:r>
            <w:r>
              <w:rPr>
                <w:i/>
                <w:iCs/>
              </w:rPr>
              <w:t xml:space="preserve">n</w:t>
            </w:r>
            <w:r>
              <w:t xml:space="preserve"> </w:t>
            </w:r>
            <w:r>
              <w:t xml:space="preserve">= 175,640 species × province × year cells, 649 events, 392 species, 31 provincial units; figure legends</w:t>
            </w:r>
          </w:p>
        </w:tc>
      </w:tr>
      <w:tr>
        <w:tc>
          <w:tcPr>
            <w:vAlign w:val="center"/>
          </w:tcPr>
          <w:p>
            <w:pPr>
              <w:pStyle w:val="Compact"/>
            </w:pPr>
            <w:r>
              <w:t xml:space="preserve">Distinct samples vs repeated measurement</w:t>
            </w:r>
          </w:p>
        </w:tc>
        <w:tc>
          <w:tcPr>
            <w:vAlign w:val="center"/>
          </w:tcPr>
          <w:p>
            <w:pPr>
              <w:pStyle w:val="Compact"/>
            </w:pPr>
            <w:r>
              <w:t xml:space="preserve">Confirmed</w:t>
            </w:r>
          </w:p>
        </w:tc>
        <w:tc>
          <w:tcPr>
            <w:vAlign w:val="center"/>
          </w:tcPr>
          <w:p>
            <w:pPr>
              <w:pStyle w:val="Compact"/>
            </w:pPr>
            <w:r>
              <w:t xml:space="preserve">Methods (risk set): each species × province pair contributes one row per year until its first record; repeated rows of the same pair and province-year are modelled with crossed random intercepts</w:t>
            </w:r>
          </w:p>
        </w:tc>
      </w:tr>
      <w:tr>
        <w:tc>
          <w:tcPr>
            <w:vAlign w:val="center"/>
          </w:tcPr>
          <w:p>
            <w:pPr>
              <w:pStyle w:val="Compact"/>
            </w:pPr>
            <w:r>
              <w:t xml:space="preserve">Statistical tests and whether one- or two-sided</w:t>
            </w:r>
          </w:p>
        </w:tc>
        <w:tc>
          <w:tcPr>
            <w:vAlign w:val="center"/>
          </w:tcPr>
          <w:p>
            <w:pPr>
              <w:pStyle w:val="Compact"/>
            </w:pPr>
            <w:r>
              <w:t xml:space="preserve">Confirmed</w:t>
            </w:r>
          </w:p>
        </w:tc>
        <w:tc>
          <w:tcPr>
            <w:vAlign w:val="center"/>
          </w:tcPr>
          <w:p>
            <w:pPr>
              <w:pStyle w:val="Compact"/>
            </w:pPr>
            <w:r>
              <w:t xml:space="preserve">Two-sided Wald tests for model coefficients; two-sided empirical</w:t>
            </w:r>
            <w:r>
              <w:t xml:space="preserve"> </w:t>
            </w:r>
            <w:r>
              <w:rPr>
                <w:i/>
                <w:iCs/>
              </w:rPr>
              <w:t xml:space="preserve">P</w:t>
            </w:r>
            <w:r>
              <w:t xml:space="preserve"> </w:t>
            </w:r>
            <w:r>
              <w:t xml:space="preserve">values from 199 permutations; likelihood-ratio tests for nested models; χ² goodness-of-fit and one-sided exact binomial tests (Holm-corrected) for directional sectors</w:t>
            </w:r>
          </w:p>
        </w:tc>
      </w:tr>
      <w:tr>
        <w:tc>
          <w:tcPr>
            <w:vAlign w:val="center"/>
          </w:tcPr>
          <w:p>
            <w:pPr>
              <w:pStyle w:val="Compact"/>
            </w:pPr>
            <w:r>
              <w:t xml:space="preserve">Description of all covariates tested</w:t>
            </w:r>
          </w:p>
        </w:tc>
        <w:tc>
          <w:tcPr>
            <w:vAlign w:val="center"/>
          </w:tcPr>
          <w:p>
            <w:pPr>
              <w:pStyle w:val="Compact"/>
            </w:pPr>
            <w:r>
              <w:t xml:space="preserve">Confirmed</w:t>
            </w:r>
          </w:p>
        </w:tc>
        <w:tc>
          <w:tcPr>
            <w:vAlign w:val="center"/>
          </w:tcPr>
          <w:p>
            <w:pPr>
              <w:pStyle w:val="Compact"/>
            </w:pPr>
            <w:r>
              <w:t xml:space="preserve">Methods (Model; Climate variables; Survey effort)</w:t>
            </w:r>
          </w:p>
        </w:tc>
      </w:tr>
      <w:tr>
        <w:tc>
          <w:tcPr>
            <w:vAlign w:val="center"/>
          </w:tcPr>
          <w:p>
            <w:pPr>
              <w:pStyle w:val="Compact"/>
            </w:pPr>
            <w:r>
              <w:t xml:space="preserve">Assumptions or corrections</w:t>
            </w:r>
          </w:p>
        </w:tc>
        <w:tc>
          <w:tcPr>
            <w:vAlign w:val="center"/>
          </w:tcPr>
          <w:p>
            <w:pPr>
              <w:pStyle w:val="Compact"/>
            </w:pPr>
            <w:r>
              <w:t xml:space="preserve">Confirmed</w:t>
            </w:r>
          </w:p>
        </w:tc>
        <w:tc>
          <w:tcPr>
            <w:vAlign w:val="center"/>
          </w:tcPr>
          <w:p>
            <w:pPr>
              <w:pStyle w:val="Compact"/>
            </w:pPr>
            <w:r>
              <w:t xml:space="preserve">Simulation-based residual diagnostics (DHARMa), proportional-hazards test, spatial autocorrelation of province residuals, Holm correction for directional sectors</w:t>
            </w:r>
          </w:p>
        </w:tc>
      </w:tr>
      <w:tr>
        <w:tc>
          <w:tcPr>
            <w:vAlign w:val="center"/>
          </w:tcPr>
          <w:p>
            <w:pPr>
              <w:pStyle w:val="Compact"/>
            </w:pPr>
            <w:r>
              <w:t xml:space="preserve">Full description of parameters with uncertainty</w:t>
            </w:r>
          </w:p>
        </w:tc>
        <w:tc>
          <w:tcPr>
            <w:vAlign w:val="center"/>
          </w:tcPr>
          <w:p>
            <w:pPr>
              <w:pStyle w:val="Compact"/>
            </w:pPr>
            <w:r>
              <w:t xml:space="preserve">Confirmed</w:t>
            </w:r>
          </w:p>
        </w:tc>
        <w:tc>
          <w:tcPr>
            <w:vAlign w:val="center"/>
          </w:tcPr>
          <w:p>
            <w:pPr>
              <w:pStyle w:val="Compact"/>
            </w:pPr>
            <w:r>
              <w:t xml:space="preserve">Hazard ratios per SD with 95% Wald CIs and province-cluster bootstrap intervals (Table 1); random-effect SDs</w:t>
            </w:r>
          </w:p>
        </w:tc>
      </w:tr>
      <w:tr>
        <w:tc>
          <w:tcPr>
            <w:vAlign w:val="center"/>
          </w:tcPr>
          <w:p>
            <w:pPr>
              <w:pStyle w:val="Compact"/>
            </w:pPr>
            <w:r>
              <w:t xml:space="preserve">Test statistic, CIs, effect sizes, df and exact P</w:t>
            </w:r>
          </w:p>
        </w:tc>
        <w:tc>
          <w:tcPr>
            <w:vAlign w:val="center"/>
          </w:tcPr>
          <w:p>
            <w:pPr>
              <w:pStyle w:val="Compact"/>
            </w:pPr>
            <w:r>
              <w:t xml:space="preserve">Confirmed</w:t>
            </w:r>
          </w:p>
        </w:tc>
        <w:tc>
          <w:tcPr>
            <w:vAlign w:val="center"/>
          </w:tcPr>
          <w:p>
            <w:pPr>
              <w:pStyle w:val="Compact"/>
            </w:pPr>
            <w:r>
              <w:t xml:space="preserve">Hazard ratios with 95% CIs and exact</w:t>
            </w:r>
            <w:r>
              <w:t xml:space="preserve"> </w:t>
            </w:r>
            <w:r>
              <w:rPr>
                <w:i/>
                <w:iCs/>
              </w:rPr>
              <w:t xml:space="preserve">P</w:t>
            </w:r>
            <w:r>
              <w:t xml:space="preserve">; χ² with df for directionality; ΔAIC for model comparison</w:t>
            </w:r>
          </w:p>
        </w:tc>
      </w:tr>
      <w:tr>
        <w:tc>
          <w:tcPr>
            <w:vAlign w:val="center"/>
          </w:tcPr>
          <w:p>
            <w:pPr>
              <w:pStyle w:val="Compact"/>
            </w:pPr>
            <w:r>
              <w:t xml:space="preserve">Bayesian analysis: priors and MCMC settings</w:t>
            </w:r>
          </w:p>
        </w:tc>
        <w:tc>
          <w:tcPr>
            <w:vAlign w:val="center"/>
          </w:tcPr>
          <w:p>
            <w:pPr>
              <w:pStyle w:val="Compact"/>
            </w:pPr>
            <w:r>
              <w:t xml:space="preserve">n/a</w:t>
            </w:r>
          </w:p>
        </w:tc>
        <w:tc>
          <w:tcPr>
            <w:vAlign w:val="center"/>
          </w:tcPr>
          <w:p>
            <w:pPr>
              <w:pStyle w:val="Compact"/>
            </w:pPr>
            <w:r>
              <w:t xml:space="preserve">No Bayesian analyses were used</w:t>
            </w:r>
          </w:p>
        </w:tc>
      </w:tr>
      <w:tr>
        <w:tc>
          <w:tcPr>
            <w:vAlign w:val="center"/>
          </w:tcPr>
          <w:p>
            <w:pPr>
              <w:pStyle w:val="Compact"/>
            </w:pPr>
            <w:r>
              <w:t xml:space="preserve">Hierarchical and complex designs: level of tests</w:t>
            </w:r>
          </w:p>
        </w:tc>
        <w:tc>
          <w:tcPr>
            <w:vAlign w:val="center"/>
          </w:tcPr>
          <w:p>
            <w:pPr>
              <w:pStyle w:val="Compact"/>
            </w:pPr>
            <w:r>
              <w:t xml:space="preserve">Confirmed</w:t>
            </w:r>
          </w:p>
        </w:tc>
        <w:tc>
          <w:tcPr>
            <w:vAlign w:val="center"/>
          </w:tcPr>
          <w:p>
            <w:pPr>
              <w:pStyle w:val="Compact"/>
            </w:pPr>
            <w:r>
              <w:t xml:space="preserve">Crossed random intercepts (species; province; province × year); cluster bootstraps at the species and province level</w:t>
            </w:r>
          </w:p>
        </w:tc>
      </w:tr>
      <w:tr>
        <w:tc>
          <w:tcPr>
            <w:vAlign w:val="center"/>
          </w:tcPr>
          <w:p>
            <w:pPr>
              <w:pStyle w:val="Compact"/>
            </w:pPr>
            <w:r>
              <w:t xml:space="preserve">Effect sizes and how calculated</w:t>
            </w:r>
          </w:p>
        </w:tc>
        <w:tc>
          <w:tcPr>
            <w:vAlign w:val="center"/>
          </w:tcPr>
          <w:p>
            <w:pPr>
              <w:pStyle w:val="Compact"/>
            </w:pPr>
            <w:r>
              <w:t xml:space="preserve">Confirmed</w:t>
            </w:r>
          </w:p>
        </w:tc>
        <w:tc>
          <w:tcPr>
            <w:vAlign w:val="center"/>
          </w:tcPr>
          <w:p>
            <w:pPr>
              <w:pStyle w:val="Compact"/>
            </w:pPr>
            <w:r>
              <w:t xml:space="preserve">Hazard ratios (exp of cloglog coefficients per SD), odds ratios (species level), incidence rate ratios (province level)</w:t>
            </w:r>
          </w:p>
        </w:tc>
      </w:tr>
    </w:tbl>
    <w:bookmarkEnd w:id="9"/>
    <w:bookmarkStart w:id="10" w:name="software-and-code"/>
    <w:p>
      <w:pPr>
        <w:pStyle w:val="Heading2"/>
      </w:pPr>
      <w:r>
        <w:t xml:space="preserve">Software and code</w:t>
      </w:r>
    </w:p>
    <w:p>
      <w:pPr>
        <w:pStyle w:val="FirstParagraph"/>
      </w:pPr>
      <w:r>
        <w:rPr>
          <w:b/>
          <w:bCs/>
        </w:rPr>
        <w:t xml:space="preserve">Data collection.</w:t>
      </w:r>
      <w:r>
        <w:t xml:space="preserve"> </w:t>
      </w:r>
      <w:r>
        <w:t xml:space="preserve">No software was used to collect primary data. New-record data were taken from the China Bird New Record dataset (CBNR v2), compiled from peer-reviewed publications with a large-language-model-assisted extraction pipeline followed by manual validation of every record.</w:t>
      </w:r>
    </w:p>
    <w:p>
      <w:pPr>
        <w:pStyle w:val="BodyText"/>
      </w:pPr>
      <w:r>
        <w:rPr>
          <w:b/>
          <w:bCs/>
        </w:rPr>
        <w:t xml:space="preserve">Data analysis.</w:t>
      </w:r>
      <w:r>
        <w:t xml:space="preserve"> </w:t>
      </w:r>
      <w:r>
        <w:t xml:space="preserve">R 4.5.1 with glmmTMB 1.1.14 (discrete-time hazard GLMMs), DHARMa 0.4.7 (residual diagnostics), ranger 0.18.0 and xgboost 3.2.1.1 (model-family comparison), sf 1.0.23 and terra 1.8.86 (spatial processing), data.table 1.18.4 and ggplot2 4.0.1; Python 3.11 for document assembly. All custom code is available at https://github.com/dingchenchen6/bird-newrecord-discovery-dated and will be archived with a DOI on Zenodo upon acceptance.</w:t>
      </w:r>
    </w:p>
    <w:bookmarkEnd w:id="10"/>
    <w:bookmarkStart w:id="11" w:name="data"/>
    <w:p>
      <w:pPr>
        <w:pStyle w:val="Heading2"/>
      </w:pPr>
      <w:r>
        <w:t xml:space="preserve">Data</w:t>
      </w:r>
    </w:p>
    <w:p>
      <w:pPr>
        <w:pStyle w:val="FirstParagraph"/>
      </w:pPr>
      <w:r>
        <w:t xml:space="preserve">The new-record data are version 2 of the China Bird New Record dataset (CBNR), openly available under a CC BY 4.0 licence at https://doi.org/10.5281/zenodo.20809949. Nature-reserve boundaries are openly available at https://doi.org/10.5281/zenodo.14875797. Historical monthly climate (WorldClim 2.1 downscaling of CRU TS 4.09) and CMIP6 projections are publicly available from WorldClim (https://www.worldclim.org). Species range maps are available on request from BirdLife International (http://datazone.birdlife.org/species/requestdis); their licence does not permit redistribution. Survey-effort indicators were derived from eBird/GBIF occurrence records (2024 records: https://doi.org/10.15468/dl.vfeeak) and China Bird Report checklists (http://www.birdreport.cn); the raw records remain subject to their providers’ terms, and the province-year effort panel is provided in the project repository. [AUTHORS: add the GBIF download DOI for the 2002–2023 records, or register a GBIF derived dataset and cite its DOI.]</w:t>
      </w:r>
    </w:p>
    <w:bookmarkEnd w:id="11"/>
    <w:bookmarkStart w:id="12" w:name="X3488561d1f9f0fa90dcd4f9f62bbbccb7e7ff35"/>
    <w:p>
      <w:pPr>
        <w:pStyle w:val="Heading2"/>
      </w:pPr>
      <w:r>
        <w:t xml:space="preserve">Research involving human participants, their data, or biological material</w:t>
      </w:r>
    </w:p>
    <w:p>
      <w:pPr>
        <w:pStyle w:val="FirstParagraph"/>
      </w:pPr>
      <w:r>
        <w:t xml:space="preserve">Not applicable.</w:t>
      </w:r>
    </w:p>
    <w:bookmarkEnd w:id="12"/>
    <w:bookmarkStart w:id="13" w:name="field-specific-reporting"/>
    <w:p>
      <w:pPr>
        <w:pStyle w:val="Heading2"/>
      </w:pPr>
      <w:r>
        <w:t xml:space="preserve">Field-specific reporting</w:t>
      </w:r>
    </w:p>
    <w:p>
      <w:pPr>
        <w:pStyle w:val="FirstParagraph"/>
      </w:pPr>
      <w:r>
        <w:t xml:space="preserve">Ecological, evolutionary &amp; environmental sciences.</w:t>
      </w:r>
    </w:p>
    <w:bookmarkEnd w:id="13"/>
    <w:bookmarkStart w:id="14" w:name="X78af6989a7eaf4b6881984839836b3028cd94c0"/>
    <w:p>
      <w:pPr>
        <w:pStyle w:val="Heading2"/>
      </w:pPr>
      <w:r>
        <w:t xml:space="preserve">Ecological, evolutionary &amp; environmental sciences study design</w:t>
      </w:r>
    </w:p>
    <w:p>
      <w:pPr>
        <w:pStyle w:val="FirstParagraph"/>
      </w:pPr>
      <w:r>
        <w:rPr>
          <w:b/>
          <w:bCs/>
        </w:rPr>
        <w:t xml:space="preserve">Study description.</w:t>
      </w:r>
      <w:r>
        <w:t xml:space="preserve"> </w:t>
      </w:r>
      <w:r>
        <w:t xml:space="preserve">Observational macroecological study. We modelled the annual hazard that a bird species receives its first documented record in a Chinese provincial unit as a discrete-time proportional-hazards process (binomial GLMM, complementary log-log link) on a species × province × year risk set (2002–2024), with accumulated warming relative to each species’ historical range, survey effort, their interaction and annual climate variability as fixed effects, a reporting-completeness offset, and crossed random intercepts for species, province and province × year.</w:t>
      </w:r>
    </w:p>
    <w:p>
      <w:pPr>
        <w:pStyle w:val="BodyText"/>
      </w:pPr>
      <w:r>
        <w:rPr>
          <w:b/>
          <w:bCs/>
        </w:rPr>
        <w:t xml:space="preserve">Research sample.</w:t>
      </w:r>
      <w:r>
        <w:t xml:space="preserve"> </w:t>
      </w:r>
      <w:r>
        <w:t xml:space="preserve">All 1,029 provincial new bird records in CBNR v2 (2000–2025; 568 species, 23 orders, 33 provincial units). After restricting to mainland provinces with survey-effort coverage, the 2002–2024 window, candidate cells defined by species-distribution models and complete covariates, the modelling data comprise 175,640 species × province × year cells with 649 events, 392 species and 31 provincial units. The sample is the complete compilation of peer-reviewed provincial new records rather than a sample drawn from it.</w:t>
      </w:r>
    </w:p>
    <w:p>
      <w:pPr>
        <w:pStyle w:val="BodyText"/>
      </w:pPr>
      <w:r>
        <w:rPr>
          <w:b/>
          <w:bCs/>
        </w:rPr>
        <w:t xml:space="preserve">Sampling strategy.</w:t>
      </w:r>
      <w:r>
        <w:t xml:space="preserve"> </w:t>
      </w:r>
      <w:r>
        <w:t xml:space="preserve">No sampling was performed: the analysis uses every record in the compilation and every species × province × year cell in the candidate risk set, so no sample-size calculation applies. Sensitivity of the risk set was assessed at species-distribution-model thresholds of 50, 100 and 200 suitable cells.</w:t>
      </w:r>
    </w:p>
    <w:p>
      <w:pPr>
        <w:pStyle w:val="BodyText"/>
      </w:pPr>
      <w:r>
        <w:rPr>
          <w:b/>
          <w:bCs/>
        </w:rPr>
        <w:t xml:space="preserve">Data collection.</w:t>
      </w:r>
      <w:r>
        <w:t xml:space="preserve"> </w:t>
      </w:r>
      <w:r>
        <w:t xml:space="preserve">Records were extracted from peer-reviewed publications into CBNR by the dataset authors (LLM-assisted extraction with manual validation of every record). Climate, range, protected-area and survey-effort layers were obtained from the sources listed under Data and processed by the authors with the released code. [AUTHORS: name who compiled and processed the data.]</w:t>
      </w:r>
    </w:p>
    <w:p>
      <w:pPr>
        <w:pStyle w:val="BodyText"/>
      </w:pPr>
      <w:r>
        <w:rPr>
          <w:b/>
          <w:bCs/>
        </w:rPr>
        <w:t xml:space="preserve">Timing and spatial scale.</w:t>
      </w:r>
      <w:r>
        <w:t xml:space="preserve"> </w:t>
      </w:r>
      <w:r>
        <w:t xml:space="preserve">Records published 2000–2025, dated to their year of discovery; annual time steps over 2002–2024. Spatial units are the 31 provincial-level units of mainland China; climate at 10 arc-minutes aggregated to a 100 km analysis grid and to provinces and species ranges. Projections for 2030, 2050 and 2080 under CMIP6 SSP2-4.5 and SSP5-8.5.</w:t>
      </w:r>
    </w:p>
    <w:p>
      <w:pPr>
        <w:pStyle w:val="BodyText"/>
      </w:pPr>
      <w:r>
        <w:rPr>
          <w:b/>
          <w:bCs/>
        </w:rPr>
        <w:t xml:space="preserve">Data exclusions.</w:t>
      </w:r>
      <w:r>
        <w:t xml:space="preserve"> </w:t>
      </w:r>
      <w:r>
        <w:t xml:space="preserve">Taiwan, Hong Kong and Macao were excluded because the survey-effort source does not cover them. Species × province pairs first recorded before 2002 were removed as prevalent rather than incident cases. Ten records with an unusable or internally inconsistent discovery year were re-dated to publication year minus the median lag. Cells lacking effort or climate components were excluded (185,478 → 175,640 cells; 657 → 649 events), including Guangdong in 2024, whose survey-effort source covers only 14 days of that year. Exclusion rules follow from data coverage and the risk-set definition and were fixed before model fitting. [AUTHORS: confirm.]</w:t>
      </w:r>
    </w:p>
    <w:p>
      <w:pPr>
        <w:pStyle w:val="BodyText"/>
      </w:pPr>
      <w:r>
        <w:rPr>
          <w:b/>
          <w:bCs/>
        </w:rPr>
        <w:t xml:space="preserve">Reproducibility.</w:t>
      </w:r>
      <w:r>
        <w:t xml:space="preserve"> </w:t>
      </w:r>
      <w:r>
        <w:t xml:space="preserve">All results are reproduced from the released code and data; a smoke test re-derives the four main-model coefficients. Conclusions were checked across 12 effort-proxy and missing-data combinations, three distribution-model thresholds, four climate indicators, four accumulation windows and three climate baselines, and against design-preserving permutation nulls (199 permutations), species- and province-cluster bootstraps (300 resamples), a parametric bootstrap (150 simulations) and leave-one-province and leave-one-species-decile refits.</w:t>
      </w:r>
    </w:p>
    <w:p>
      <w:pPr>
        <w:pStyle w:val="BodyText"/>
      </w:pPr>
      <w:r>
        <w:rPr>
          <w:b/>
          <w:bCs/>
        </w:rPr>
        <w:t xml:space="preserve">Randomization.</w:t>
      </w:r>
      <w:r>
        <w:t xml:space="preserve"> </w:t>
      </w:r>
      <w:r>
        <w:t xml:space="preserve">Not applicable: observational data with no allocation to treatment groups. Randomization was used only to construct permutation nulls, with fixed random seeds.</w:t>
      </w:r>
    </w:p>
    <w:p>
      <w:pPr>
        <w:pStyle w:val="BodyText"/>
      </w:pPr>
      <w:r>
        <w:rPr>
          <w:b/>
          <w:bCs/>
        </w:rPr>
        <w:t xml:space="preserve">Blinding.</w:t>
      </w:r>
      <w:r>
        <w:t xml:space="preserve"> </w:t>
      </w:r>
      <w:r>
        <w:t xml:space="preserve">Not applicable: records were compiled from the published literature and analysed with pre-specified models; blinding was not possible or relevant.</w:t>
      </w:r>
    </w:p>
    <w:p>
      <w:pPr>
        <w:pStyle w:val="BodyText"/>
      </w:pPr>
      <w:r>
        <w:rPr>
          <w:b/>
          <w:bCs/>
        </w:rPr>
        <w:t xml:space="preserve">Did the study involve field work?</w:t>
      </w:r>
      <w:r>
        <w:t xml:space="preserve"> </w:t>
      </w:r>
      <w:r>
        <w:t xml:space="preserve">No.</w:t>
      </w:r>
    </w:p>
    <w:bookmarkEnd w:id="14"/>
    <w:bookmarkStart w:id="15" w:name="X48288214b09796944c7da1fa6d95c456574ba2d"/>
    <w:p>
      <w:pPr>
        <w:pStyle w:val="Heading2"/>
      </w:pPr>
      <w:r>
        <w:t xml:space="preserve">Reporting for specific materials, systems and methods</w:t>
      </w:r>
    </w:p>
    <w:p>
      <w:pPr>
        <w:pStyle w:val="FirstParagraph"/>
      </w:pPr>
      <w:r>
        <w:t xml:space="preserve">Antibodies; eukaryotic cell lines; palaeontology and archaeology; animals and other research organisms; clinical data; dual-use research of concern; plants; ChIP-seq; flow cytometry; MRI-based neuroimaging —</w:t>
      </w:r>
      <w:r>
        <w:t xml:space="preserve"> </w:t>
      </w:r>
      <w:r>
        <w:rPr>
          <w:b/>
          <w:bCs/>
        </w:rPr>
        <w:t xml:space="preserve">not applicable</w:t>
      </w:r>
      <w:r>
        <w:t xml:space="preserve"> </w:t>
      </w:r>
      <w:r>
        <w:t xml:space="preserve">(the study analyses published occurrence records; no organisms were handled).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/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2026-10-14T01:34:34Z</dcterms:created>
  <dcterms:modified xsi:type="dcterms:W3CDTF">2026-10-14T01:34:34Z</dcterms:modified>
</cp:coreProperties>
</file>