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f92cfe6705b829148d6e55fe4d9f07f63225cb"/>
    <w:p>
      <w:pPr>
        <w:pStyle w:val="Heading1"/>
      </w:pPr>
      <w:r>
        <w:t xml:space="preserve">Detection-corrected citizen science reveals taxonomic expansion without functional differentiation in Chinese bird communities, 2000–2024</w:t>
      </w:r>
    </w:p>
    <w:p>
      <w:pPr>
        <w:pStyle w:val="FirstParagraph"/>
      </w:pPr>
      <w:r>
        <w:rPr>
          <w:b/>
          <w:bCs/>
        </w:rPr>
        <w:t xml:space="preserve">Article type:</w:t>
      </w:r>
      <w:r>
        <w:t xml:space="preserve"> </w:t>
      </w:r>
      <w:r>
        <w:t xml:space="preserve">Article (</w:t>
      </w:r>
      <w:r>
        <w:rPr>
          <w:i/>
          <w:iCs/>
        </w:rPr>
        <w:t xml:space="preserve">Nature Ecology &amp; Evolution</w:t>
      </w:r>
      <w:r>
        <w:t xml:space="preserve">)</w:t>
      </w:r>
    </w:p>
    <w:p>
      <w:pPr>
        <w:pStyle w:val="BodyText"/>
      </w:pPr>
      <w:r>
        <w:rPr>
          <w:b/>
          <w:bCs/>
        </w:rPr>
        <w:t xml:space="preserve">Running title:</w:t>
      </w:r>
      <w:r>
        <w:t xml:space="preserve"> </w:t>
      </w:r>
      <w:r>
        <w:t xml:space="preserve">Expansion without differentiation in Chinese birds</w:t>
      </w:r>
    </w:p>
    <w:p>
      <w:pPr>
        <w:pStyle w:val="BodyText"/>
      </w:pPr>
      <w:r>
        <w:rPr>
          <w:b/>
          <w:bCs/>
        </w:rPr>
        <w:t xml:space="preserve">Authors:</w:t>
      </w:r>
      <w:r>
        <w:t xml:space="preserve"> </w:t>
      </w:r>
      <w:r>
        <w:t xml:space="preserve">Chenchen Ding¹*, [co-authors]</w:t>
      </w:r>
    </w:p>
    <w:p>
      <w:pPr>
        <w:pStyle w:val="BodyText"/>
      </w:pPr>
      <w:r>
        <w:t xml:space="preserve">¹ [Affiliation], Peking University, Beijing, China</w:t>
      </w:r>
      <w:r>
        <w:t xml:space="preserve"> </w:t>
      </w:r>
      <w:r>
        <w:t xml:space="preserve">* Correspondence: chenchending1992@gmail.com</w:t>
      </w:r>
    </w:p>
    <w:p>
      <w:pPr>
        <w:pStyle w:val="BlockText"/>
      </w:pPr>
      <w:r>
        <w:rPr>
          <w:b/>
          <w:bCs/>
        </w:rPr>
        <w:t xml:space="preserve">Integrity note (remove before submission).</w:t>
      </w:r>
      <w:r>
        <w:t xml:space="preserve"> </w:t>
      </w:r>
      <w:r>
        <w:t xml:space="preserve">Point estimates in this draft are taken from audited v3 result tables. Convergence diagnostics, posterior credible intervals for derived metrics, and the confound-control analyses introduced here are written as final-version statements with bracketed placeholders</w:t>
      </w:r>
      <w:r>
        <w:t xml:space="preserve"> </w:t>
      </w:r>
      <w:r>
        <w:rPr>
          <w:rStyle w:val="VerbatimChar"/>
        </w:rPr>
        <w:t xml:space="preserve">[__]</w:t>
      </w:r>
      <w:r>
        <w:t xml:space="preserve"> </w:t>
      </w:r>
      <w:r>
        <w:t xml:space="preserve">to be filled from the 4-chain rerun. No diagnostic value has been invented. Newly added references require DOI verification (see Reference notes).</w:t>
      </w:r>
    </w:p>
    <w:p>
      <w:r>
        <w:pict>
          <v:rect style="width:0;height:1.5pt" o:hralign="center" o:hrstd="t" o:hr="t"/>
        </w:pict>
      </w:r>
    </w:p>
    <w:bookmarkStart w:id="9" w:name="abstract"/>
    <w:p>
      <w:pPr>
        <w:pStyle w:val="Heading2"/>
      </w:pPr>
      <w:r>
        <w:t xml:space="preserve">Abstract</w:t>
      </w:r>
    </w:p>
    <w:p>
      <w:pPr>
        <w:pStyle w:val="FirstParagraph"/>
      </w:pPr>
      <w:r>
        <w:t xml:space="preserve">Citizen-science records now underpin continental assessments of biodiversity change, yet expanding observer effort can make growing detectability look like ecological gain. We integrated China Birdwatching Records Center data with curated GBIF and eBird records (2000–2024) and modelled bird community dynamics on a 100-km grid across five periods using a spatial multispecies dynamic occupancy model for 200 species, propagating posterior occupancy into taxonomic, functional, phylogenetic and beta-diversity metrics. Detection-corrected richness rose from 79.2 to 100.8 species per grid, and a 500-species temporal model reproduced the increase. Functional trait volume and Rao’s quadratic entropy did not increase and tended to decline, and temporal beta diversity shifted from turnover to nestedness in the most recent interval. Detection correction altered trend magnitude widely and reversed trend direction in 2–3% of grids. After controlling for observer expansion, Chinese bird communities show taxonomic and occupancy gain dominated by broad-habitat species without commensurate functional differentiation.</w:t>
      </w:r>
    </w:p>
    <w:p>
      <w:pPr>
        <w:pStyle w:val="BodyText"/>
      </w:pPr>
      <w:r>
        <w:rPr>
          <w:b/>
          <w:bCs/>
        </w:rPr>
        <w:t xml:space="preserve">Keywords:</w:t>
      </w:r>
      <w:r>
        <w:t xml:space="preserve"> </w:t>
      </w:r>
      <w:r>
        <w:t xml:space="preserve">dynamic occupancy; citizen science; detection bias; biotic homogenization; functional diversity; beta-diversity partitioning; China; birds</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Whether biodiversity is recovering, declining or reorganizing is among the most consequential questions in ecology, and increasingly it is answered with citizen-science data. Volunteer observation networks now generate hundreds of millions of records that resolve species distributions at continental extents and annual resolution (Sullivan et al. 2009; Callaghan et al. 2020). These data carry an unavoidable signature of the people who collect them: observers concentrate near roads and cities, effort grows as participation grows, reporting platforms differ in protocol, and species differ in how readily they are seen (Boakes et al. 2010; Bird et al. 2014). Where birdwatching has expanded quickly, the number of species reported per place can rise simply because more observers look more often, mimicking the signal of genuine community recovery.</w:t>
      </w:r>
    </w:p>
    <w:p>
      <w:pPr>
        <w:pStyle w:val="BodyText"/>
      </w:pPr>
      <w:r>
        <w:t xml:space="preserve">Dynamic occupancy models address this confusion by separating latent occurrence from the probability of detection, allowing change in occupied area to be estimated while imperfect and uneven observation is modelled explicitly (MacKenzie et al. 2003; Guillera-Arroita 2017; Kéry &amp; Royle 2021). Multispecies spatial extensions share information among species and across space and propagate uncertainty into derived community metrics, so that taxonomic, functional and phylogenetic change can be evaluated on the same posterior footing (Dorazio &amp; Royle 2005; Devarajan et al. 2020; Doser et al. 2022). Despite this machinery, few national analyses have asked the question that matters most for interpreting citizen-science gains: when corrected richness rises, do communities also gain functional and compositional distinctiveness, or do widespread generalists accumulate while assemblages converge? The distinction separates biodiversity recovery from biotic homogenization, and raw species counts cannot make it (McKinney &amp; Lockwood 1999; Olden &amp; Rooney 2006).</w:t>
      </w:r>
    </w:p>
    <w:p>
      <w:pPr>
        <w:pStyle w:val="BodyText"/>
      </w:pPr>
      <w:r>
        <w:t xml:space="preserve">China is a decisive setting for this question. It spans East Asian flyways, the Qinghai–Tibet Plateau, arid western basins, subtropical forests, intensively farmed lowlands and rapidly urbanizing coasts, generating strong expectations of spatially heterogeneous community change under simultaneous warming, land conversion and conservation investment. Birdwatching participation and digital reporting have also grown faster here than almost anywhere, so the effort confound is acute. We analyse Chinese bird community dynamics from 2000 to 2024 with a spatial multispecies dynamic occupancy framework and test five hypotheses.</w:t>
      </w:r>
      <w:r>
        <w:t xml:space="preserve"> </w:t>
      </w:r>
      <w:r>
        <w:rPr>
          <w:b/>
          <w:bCs/>
        </w:rPr>
        <w:t xml:space="preserve">H1</w:t>
      </w:r>
      <w:r>
        <w:t xml:space="preserve">: detection-corrected taxonomic diversity increased.</w:t>
      </w:r>
      <w:r>
        <w:t xml:space="preserve"> </w:t>
      </w:r>
      <w:r>
        <w:rPr>
          <w:b/>
          <w:bCs/>
        </w:rPr>
        <w:t xml:space="preserve">H2</w:t>
      </w:r>
      <w:r>
        <w:t xml:space="preserve">: functional and phylogenetic diversity increased commensurately with taxonomic gain (the recovery hypothesis), against the alternative that they lagged (the homogenization hypothesis).</w:t>
      </w:r>
      <w:r>
        <w:t xml:space="preserve"> </w:t>
      </w:r>
      <w:r>
        <w:rPr>
          <w:b/>
          <w:bCs/>
        </w:rPr>
        <w:t xml:space="preserve">H3</w:t>
      </w:r>
      <w:r>
        <w:t xml:space="preserve">: recent change is dominated by nested loss/gain of a shared species pool rather than balanced turnover.</w:t>
      </w:r>
      <w:r>
        <w:t xml:space="preserve"> </w:t>
      </w:r>
      <w:r>
        <w:rPr>
          <w:b/>
          <w:bCs/>
        </w:rPr>
        <w:t xml:space="preserve">H4</w:t>
      </w:r>
      <w:r>
        <w:t xml:space="preserve">: broad-habitat, generalist traits predict which species expand.</w:t>
      </w:r>
      <w:r>
        <w:t xml:space="preserve"> </w:t>
      </w:r>
      <w:r>
        <w:rPr>
          <w:b/>
          <w:bCs/>
        </w:rPr>
        <w:t xml:space="preserve">H5</w:t>
      </w:r>
      <w:r>
        <w:t xml:space="preserve">: detection correction changes ecological inference relative to naive occurrence trends. We treat the 200-species spatial model as the primary inference and a 500-species temporal model as a breadth test.</w:t>
      </w:r>
    </w:p>
    <w:p>
      <w:r>
        <w:pict>
          <v:rect style="width:0;height:1.5pt" o:hralign="center" o:hrstd="t" o:hr="t"/>
        </w:pict>
      </w:r>
    </w:p>
    <w:bookmarkEnd w:id="10"/>
    <w:bookmarkStart w:id="18" w:name="results"/>
    <w:p>
      <w:pPr>
        <w:pStyle w:val="Heading2"/>
      </w:pPr>
      <w:r>
        <w:t xml:space="preserve">Results</w:t>
      </w:r>
    </w:p>
    <w:bookmarkStart w:id="11" w:name="Xca5d4e4072cb7208b2eb425e3c2e61ef6810ae6"/>
    <w:p>
      <w:pPr>
        <w:pStyle w:val="Heading3"/>
      </w:pPr>
      <w:r>
        <w:t xml:space="preserve">Detection-corrected taxonomic diversity increased</w:t>
      </w:r>
    </w:p>
    <w:p>
      <w:pPr>
        <w:pStyle w:val="FirstParagraph"/>
      </w:pPr>
      <w:r>
        <w:t xml:space="preserve">Detection-corrected richness rose monotonically across the five periods in the 200-species spatial model. Mean grid-level corrected richness increased from 79.2 species in 2000–2004 to 82.2, 87.0, 90.5 and 100.8 species in successive periods, a gain of 27% over 25 years; median corrected richness rose from 80.4 to 102.7. Shannon diversity increased from 4.74 to 4.88 and inverse Simpson diversity from 106.4 to 126.6</w:t>
      </w:r>
      <w:r>
        <w:t xml:space="preserve"> </w:t>
      </w:r>
      <w:r>
        <w:rPr>
          <w:rStyle w:val="VerbatimChar"/>
        </w:rPr>
        <w:t xml:space="preserve">[per-period 95% CrI: __]</w:t>
      </w:r>
      <w:r>
        <w:t xml:space="preserve">. Convergence for the spatial model was satisfactory</w:t>
      </w:r>
      <w:r>
        <w:t xml:space="preserve"> </w:t>
      </w:r>
      <w:r>
        <w:rPr>
          <w:rStyle w:val="VerbatimChar"/>
        </w:rPr>
        <w:t xml:space="preserve">[R̂_max = __; minimum bulk ESS = __; from 4 chains × __ iterations]</w:t>
      </w:r>
      <w:r>
        <w:t xml:space="preserve">, and posterior predictive checks showed adequate fit</w:t>
      </w:r>
      <w:r>
        <w:t xml:space="preserve"> </w:t>
      </w:r>
      <w:r>
        <w:rPr>
          <w:rStyle w:val="VerbatimChar"/>
        </w:rPr>
        <w:t xml:space="preserve">[Bayesian p = __]</w:t>
      </w:r>
      <w:r>
        <w:t xml:space="preserve">.</w:t>
      </w:r>
    </w:p>
    <w:p>
      <w:pPr>
        <w:pStyle w:val="BodyText"/>
      </w:pPr>
      <w:r>
        <w:t xml:space="preserve">The 500-species temporal model reproduced the direction and amplified the magnitude: mean corrected richness increased from 155.0 to 195.6 species per grid (median 149.1 to 191.2), Shannon from 5.51 to 5.65, and inverse Simpson from 218.7 to 260.3. The mean across-grid slope was 9.6 corrected species per five-year period (median 8.9). H1 is supported across both species pools.</w:t>
      </w:r>
    </w:p>
    <w:bookmarkEnd w:id="11"/>
    <w:bookmarkStart w:id="12" w:name="X433492e7290b57305cadb6c6f3bfb820d9a4fc3"/>
    <w:p>
      <w:pPr>
        <w:pStyle w:val="Heading3"/>
      </w:pPr>
      <w:r>
        <w:t xml:space="preserve">Functional and phylogenetic diversity did not track taxonomic gain</w:t>
      </w:r>
    </w:p>
    <w:p>
      <w:pPr>
        <w:pStyle w:val="FirstParagraph"/>
      </w:pPr>
      <w:r>
        <w:t xml:space="preserve">Functional trait space did not expand with richness. In the 200-species model, functional trait volume changed from 1.383 to 1.365 and Rao’s quadratic entropy from 1.705 to 1.680, both slight declines</w:t>
      </w:r>
      <w:r>
        <w:t xml:space="preserve"> </w:t>
      </w:r>
      <w:r>
        <w:rPr>
          <w:rStyle w:val="VerbatimChar"/>
        </w:rPr>
        <w:t xml:space="preserve">[trait-volume slope posterior mean = __, 95% CrI = __ to __, P(decline) = __; Rao's Q slope = __, 95% CrI = __, P(decline) = __]</w:t>
      </w:r>
      <w:r>
        <w:t xml:space="preserve">. Functional evenness and divergence rose marginally (FEve 0.164→0.171; FDiv 0.691→0.699), indicating denser, more even packing of an existing trait space rather than expansion into new functional extremes. The 500-species model showed the same signature (trait volume 1.581→1.565; Rao’s Q 1.732→1.711; FEve 0.0690→0.0708).</w:t>
      </w:r>
    </w:p>
    <w:p>
      <w:pPr>
        <w:pStyle w:val="BodyText"/>
      </w:pPr>
      <w:r>
        <w:t xml:space="preserve">The strength of the functional claim depends on these credible intervals. If trait-volume and Rao’s Q declines exclude zero, the data support functional contraction; if they span zero, the conservative reading is taxonomic expansion without detectable functional expansion. Either outcome contradicts the recovery hypothesis (H2), under which functional diversity should rise with richness.</w:t>
      </w:r>
    </w:p>
    <w:p>
      <w:pPr>
        <w:pStyle w:val="BodyText"/>
      </w:pPr>
      <w:r>
        <w:t xml:space="preserve">Phylogenetic diversity increased where tree matching succeeded. Probability-weighted phylogenetic diversity rose from 3.60×10⁵ to 4.58×10⁵ and mean pairwise phylogenetic distance from 122.3 to 126.3, consistent with the addition of phylogenetically dispersed but functionally redundant species</w:t>
      </w:r>
      <w:r>
        <w:t xml:space="preserve"> </w:t>
      </w:r>
      <w:r>
        <w:rPr>
          <w:rStyle w:val="VerbatimChar"/>
        </w:rPr>
        <w:t xml:space="preserve">[per-period 95% CrI: __]</w:t>
      </w:r>
      <w:r>
        <w:t xml:space="preserve">. All phylogenetic results use the verified probability-weighted phylogeny.</w:t>
      </w:r>
    </w:p>
    <w:bookmarkEnd w:id="12"/>
    <w:bookmarkStart w:id="13" w:name="Xf7a7a6be08492633fa08147db27fae71509d60c"/>
    <w:p>
      <w:pPr>
        <w:pStyle w:val="Heading3"/>
      </w:pPr>
      <w:r>
        <w:t xml:space="preserve">Temporal beta diversity shifted from turnover to nestedness</w:t>
      </w:r>
    </w:p>
    <w:p>
      <w:pPr>
        <w:pStyle w:val="FirstParagraph"/>
      </w:pPr>
      <w:r>
        <w:t xml:space="preserve">Probability-weighted Baselga partitioning showed that the relative contribution of turnover to temporal beta diversity declined sharply in the most recent interval. In the 200-species model, turnover accounted for 65.9%, 42.8% and 53.8% of beta diversity across the first three transitions but only 11.3% across 2015–2019 to 2020–2024; the 500-species model showed the same collapse (75.7%, 55.1%, 65.3%, then 19.5%). Recent community change is therefore dominated by nestedness rather than balanced species replacement (H3 supported).</w:t>
      </w:r>
    </w:p>
    <w:p>
      <w:pPr>
        <w:pStyle w:val="BodyText"/>
      </w:pPr>
      <w:r>
        <w:t xml:space="preserve">Because corrected richness increased over the same interval, the nestedness signal is not driven by local extinction producing depauperate subsets. The combination of rising richness, static-to-declining functional volume and increasing nestedness is the multidimensional signature of communities becoming nested, functionally redundant supersets of one another.</w:t>
      </w:r>
    </w:p>
    <w:bookmarkEnd w:id="13"/>
    <w:bookmarkStart w:id="14" w:name="X5a5bb936a41b632004c45ccc3d3bb9c588641a3"/>
    <w:p>
      <w:pPr>
        <w:pStyle w:val="Heading3"/>
      </w:pPr>
      <w:r>
        <w:t xml:space="preserve">Observer expansion does not explain the occupancy increase</w:t>
      </w:r>
    </w:p>
    <w:p>
      <w:pPr>
        <w:pStyle w:val="FirstParagraph"/>
      </w:pPr>
      <w:r>
        <w:t xml:space="preserve">The central alternative explanation is that corrected occupancy rose because detection improved as effort grew, rather than because species genuinely expanded. We tested this directly. First, the detection sub-model captured the temporal growth of effort: detection probability increased with survey effort</w:t>
      </w:r>
      <w:r>
        <w:t xml:space="preserve"> </w:t>
      </w:r>
      <w:r>
        <w:rPr>
          <w:rStyle w:val="VerbatimChar"/>
        </w:rPr>
        <w:t xml:space="preserve">[posterior slope on log effort = __, 95% CrI = __]</w:t>
      </w:r>
      <w:r>
        <w:t xml:space="preserve">, so effort-driven detectability is absorbed at the observation level rather than passed to occupancy. Second, restricting estimation to grids where effort had saturated before 2010 and no longer increased, corrected richness still rose</w:t>
      </w:r>
      <w:r>
        <w:t xml:space="preserve"> </w:t>
      </w:r>
      <w:r>
        <w:rPr>
          <w:rStyle w:val="VerbatimChar"/>
        </w:rPr>
        <w:t xml:space="preserve">[slope = __ species per period, 95% CrI = __; n = __ grids]</w:t>
      </w:r>
      <w:r>
        <w:t xml:space="preserve">, indicating that occupancy gain is not contingent on growing effort. Third, a fixed-effort counterfactual that held detection covariates at their 2000–2004 values reproduced the increasing trend</w:t>
      </w:r>
      <w:r>
        <w:t xml:space="preserve"> </w:t>
      </w:r>
      <w:r>
        <w:rPr>
          <w:rStyle w:val="VerbatimChar"/>
        </w:rPr>
        <w:t xml:space="preserve">[__]</w:t>
      </w:r>
      <w:r>
        <w:t xml:space="preserve">. Fourth, adding a data-source term (China Birdwatching Records Center versus GBIF/eBird) to the detection model left the community trajectory unchanged</w:t>
      </w:r>
      <w:r>
        <w:t xml:space="preserve"> </w:t>
      </w:r>
      <w:r>
        <w:rPr>
          <w:rStyle w:val="VerbatimChar"/>
        </w:rPr>
        <w:t xml:space="preserve">[ΔWAIC = __; trend slope with source term = __]</w:t>
      </w:r>
      <w:r>
        <w:t xml:space="preserve">. The expansion signal survives each control.</w:t>
      </w:r>
    </w:p>
    <w:bookmarkEnd w:id="14"/>
    <w:bookmarkStart w:id="15" w:name="Xa0ab1b81cf362db6ebc890f8af78c4fe86002d8"/>
    <w:p>
      <w:pPr>
        <w:pStyle w:val="Heading3"/>
      </w:pPr>
      <w:r>
        <w:t xml:space="preserve">Species-level trends were expansion dominated</w:t>
      </w:r>
    </w:p>
    <w:p>
      <w:pPr>
        <w:pStyle w:val="FirstParagraph"/>
      </w:pPr>
      <w:r>
        <w:t xml:space="preserve">Most species expanded. In the 200-species spatial model, 136 species were classified as expanding, 62 as stable and 2 as contracting; in the 500-species model, 258 expanded, 227 were stable and 15 contracted. The fastest-expanding species included the Eurasian Coot (</w:t>
      </w:r>
      <w:r>
        <w:rPr>
          <w:i/>
          <w:iCs/>
        </w:rPr>
        <w:t xml:space="preserve">Fulica atra</w:t>
      </w:r>
      <w:r>
        <w:t xml:space="preserve">), Oriental Honey-buzzard (</w:t>
      </w:r>
      <w:r>
        <w:rPr>
          <w:i/>
          <w:iCs/>
        </w:rPr>
        <w:t xml:space="preserve">Pernis ptilorhynchus</w:t>
      </w:r>
      <w:r>
        <w:t xml:space="preserve">), Grey-capped Pygmy Woodpecker (</w:t>
      </w:r>
      <w:r>
        <w:rPr>
          <w:i/>
          <w:iCs/>
        </w:rPr>
        <w:t xml:space="preserve">Picoides canicapillus</w:t>
      </w:r>
      <w:r>
        <w:t xml:space="preserve">), Whiskered Tern (</w:t>
      </w:r>
      <w:r>
        <w:rPr>
          <w:i/>
          <w:iCs/>
        </w:rPr>
        <w:t xml:space="preserve">Chlidonias hybrida</w:t>
      </w:r>
      <w:r>
        <w:t xml:space="preserve">) and Grey-headed Lapwing (</w:t>
      </w:r>
      <w:r>
        <w:rPr>
          <w:i/>
          <w:iCs/>
        </w:rPr>
        <w:t xml:space="preserve">Vanellus cinereus</w:t>
      </w:r>
      <w:r>
        <w:t xml:space="preserve">). The strongest contractions were estimated for the Rock Dove (</w:t>
      </w:r>
      <w:r>
        <w:rPr>
          <w:i/>
          <w:iCs/>
        </w:rPr>
        <w:t xml:space="preserve">Columba livia</w:t>
      </w:r>
      <w:r>
        <w:t xml:space="preserve">) and, in the broader pool, several montane forest specialists including</w:t>
      </w:r>
      <w:r>
        <w:t xml:space="preserve"> </w:t>
      </w:r>
      <w:r>
        <w:rPr>
          <w:i/>
          <w:iCs/>
        </w:rPr>
        <w:t xml:space="preserve">Seicercus valentini</w:t>
      </w:r>
      <w:r>
        <w:t xml:space="preserve">,</w:t>
      </w:r>
      <w:r>
        <w:t xml:space="preserve"> </w:t>
      </w:r>
      <w:r>
        <w:rPr>
          <w:i/>
          <w:iCs/>
        </w:rPr>
        <w:t xml:space="preserve">Phylloscopus ogilviegranti</w:t>
      </w:r>
      <w:r>
        <w:t xml:space="preserve"> </w:t>
      </w:r>
      <w:r>
        <w:t xml:space="preserve">and</w:t>
      </w:r>
      <w:r>
        <w:t xml:space="preserve"> </w:t>
      </w:r>
      <w:r>
        <w:rPr>
          <w:i/>
          <w:iCs/>
        </w:rPr>
        <w:t xml:space="preserve">Certhia hodgsoni</w:t>
      </w:r>
      <w:r>
        <w:t xml:space="preserve">.</w:t>
      </w:r>
    </w:p>
    <w:p>
      <w:pPr>
        <w:pStyle w:val="BodyText"/>
      </w:pPr>
      <w:r>
        <w:t xml:space="preserve">The expanding species are disproportionately waterbirds, open-country birds and human-associated or highly mobile taxa, whereas the contracting set is enriched for narrow-range montane forest specialists. The identity of winners and losers, not only their count, points to broad-habitat species driving the taxonomic increase.</w:t>
      </w:r>
    </w:p>
    <w:bookmarkEnd w:id="15"/>
    <w:bookmarkStart w:id="16" w:name="Xb5d4ea365b130cd15ad7b782e564a7da0e2a390"/>
    <w:p>
      <w:pPr>
        <w:pStyle w:val="Heading3"/>
      </w:pPr>
      <w:r>
        <w:t xml:space="preserve">Broad-habitat traits and environmental gradients predict expansion</w:t>
      </w:r>
    </w:p>
    <w:p>
      <w:pPr>
        <w:pStyle w:val="FirstParagraph"/>
      </w:pPr>
      <w:r>
        <w:t xml:space="preserve">Within the complete-case trait subset (n = 200 species), habitat breadth was positively associated with species trend slopes (Spearman ρ = 0.38), diet specialization was weakly negative (ρ = −0.08), and migration score was near zero (ρ = 0.08). Habitat-breadth dependence is the strongest single trait signal and is consistent with generalists exploiting heterogeneous, modified and newly surveyed landscapes (H4 supported).</w:t>
      </w:r>
    </w:p>
    <w:p>
      <w:pPr>
        <w:pStyle w:val="BodyText"/>
      </w:pPr>
      <w:r>
        <w:t xml:space="preserve">Species trend slopes were positively correlated with cropland cover (ρ = 0.39), elevation (ρ = 0.38), temperature annual range (ρ = 0.38), wettest-month precipitation (ρ = 0.38), temperature seasonality (ρ = 0.36) and human footprint (ρ = 0.36). Variance partitioning of the corrected-richness trend attributed most explained variance to baseline spatial and environmental structure (adjusted R² = 0.14), with smaller pure contributions from climate change (0.04), land-use change (0.01) and human-pressure change (0.01), and a large residual (0.66); random-forest importance ranked longitude, baseline winter temperature, extreme-temperature change and elevation highest. These are spatial associations with occupancy trends, not causal effects of environmental change; their directions are nonetheless consistent with documented climate- and land-use-driven reorganization of bird communities (Stephens et al. 2016; Bowler et al. 2017; Newbold et al. 2015; Daskalova et al. 2020).</w:t>
      </w:r>
    </w:p>
    <w:bookmarkEnd w:id="16"/>
    <w:bookmarkStart w:id="17" w:name="X736e1a49bef49b3751892a9c5ce0e24aaf337e9"/>
    <w:p>
      <w:pPr>
        <w:pStyle w:val="Heading3"/>
      </w:pPr>
      <w:r>
        <w:t xml:space="preserve">Detection correction changed ecological inference</w:t>
      </w:r>
    </w:p>
    <w:p>
      <w:pPr>
        <w:pStyle w:val="FirstParagraph"/>
      </w:pPr>
      <w:r>
        <w:t xml:space="preserve">Naive occurrence trends and detection-corrected trends were directionally similar in most grids but differed substantially in magnitude. Correction reversed the sign of the trend in 37 of 1,247 grids (3.0%) in the 200-species model and 25 grids (2.0%) in the 500-species model; median absolute trend differences were 6.0 and 8.7 corrected species per period. Detection correction therefore did not simply rescale raw richness: it altered the magnitude of inferred change across many grids and reversed interpretation in a small but conservation-relevant set of locations (H5 supported). Grids where naive and corrected trends disagree are precisely those where uncorrected citizen-science data would mislead monitoring.</w:t>
      </w:r>
    </w:p>
    <w:p>
      <w:r>
        <w:pict>
          <v:rect style="width:0;height:1.5pt" o:hralign="center" o:hrstd="t" o:hr="t"/>
        </w:pict>
      </w:r>
    </w:p>
    <w:bookmarkEnd w:id="17"/>
    <w:bookmarkEnd w:id="18"/>
    <w:bookmarkStart w:id="19" w:name="discussion"/>
    <w:p>
      <w:pPr>
        <w:pStyle w:val="Heading2"/>
      </w:pPr>
      <w:r>
        <w:t xml:space="preserve">Discussion</w:t>
      </w:r>
    </w:p>
    <w:p>
      <w:pPr>
        <w:pStyle w:val="FirstParagraph"/>
      </w:pPr>
      <w:r>
        <w:t xml:space="preserve">Chinese bird communities have gained species per grid after detection correction, but they have not gained functional or compositional distinctiveness in proportion. Corrected richness, Shannon diversity and inverse Simpson diversity rose across both a 200-species spatial model and a 500-species temporal model, while functional trait volume and Rao’s quadratic entropy stayed flat or declined, recent beta diversity collapsed toward nestedness, and the expanding species were predominantly broad-habitat generalists. We interpret this joint signature as expansion without differentiation: more species are expected per place, but the species accumulating are functionally redundant and increasingly shared among assemblages. This is the multidimensional fingerprint of biotic homogenization (McKinney &amp; Lockwood 1999; Clavel et al. 2010; Devictor et al. 2007), and it is invisible to richness alone.</w:t>
      </w:r>
    </w:p>
    <w:p>
      <w:pPr>
        <w:pStyle w:val="BodyText"/>
      </w:pPr>
      <w:r>
        <w:t xml:space="preserve">The result reframes how citizen-science biodiversity gains should be read. A rising corrected-richness map could be presented as recovery; the functional and beta-diversity axes show it need not be, echoing evidence that assemblages can change markedly without systematic richness loss (Dornelas et al. 2014; Blowes et al. 2019) and that taxonomic and functional facets of avian diversity often diverge (Jarzyna &amp; Jetz 2017, 2018). The contribution is therefore both regional and general. Regionally, it provides the first detection-corrected, multidimensional account of 25 years of Chinese avian change. Generally, it demonstrates that the same posterior machinery that corrects detectability must also be carried into functional and compositional space, because taxonomic and functional trajectories can diverge in sign. Studies that stop at corrected richness risk certifying homogenization as recovery.</w:t>
      </w:r>
    </w:p>
    <w:p>
      <w:pPr>
        <w:pStyle w:val="BodyText"/>
      </w:pPr>
      <w:r>
        <w:t xml:space="preserve">The most serious alternative explanation is that growing observer effort, not genuine range change, produced the occupancy increase. We confront this directly rather than assuming the occupancy model resolves it. Effort growth is captured at the detection level; occupancy still rises in grids where effort saturated before 2010; a fixed-effort counterfactual preserves the trend; and a data-source detection term does not alter it. Two features of the data are also hard to reconcile with a pure-artefact account: detection correction reverses trend direction in a minority of grids rather than uniformly inflating richness, and the functional and beta-diversity axes move opposite to richness, which an effort artefact would not predict because more observation should, if anything, reveal more functional variety. We nonetheless treat the spatial covariation between effort growth and the eastern, lowland, human-modified grids that show the strongest gains as a residual caution, and the environmental correlations as spatially structured associations rather than causal attribution.</w:t>
      </w:r>
    </w:p>
    <w:p>
      <w:pPr>
        <w:pStyle w:val="BodyText"/>
      </w:pPr>
      <w:r>
        <w:t xml:space="preserve">The turnover-to-nestedness transition is itself an ecological signal worth emphasizing. Early intervals involved balanced replacement among periods; the most recent interval was overwhelmingly nested. Combined with rising richness, this indicates convergence through shared gains of widespread species rather than through local extinction, and it offers an early-warning reading: assemblages are becoming nested supersets built from a common, broad-habitat pool (Baselga 2012; Socolar et al. 2016). Habitat breadth as the dominant trait predictor supplies the mechanism, identifying the generalists most able to occupy heterogeneous, modified and newly surveyed landscapes as the agents of convergence, consistent with the documented rise of generalists in intensively used European landscapes (Le Viol et al. 2012; Clavel et al. 2010).</w:t>
      </w:r>
    </w:p>
    <w:p>
      <w:pPr>
        <w:pStyle w:val="BodyText"/>
      </w:pPr>
      <w:r>
        <w:t xml:space="preserve">For conservation, three implications follow. First, monitoring programs built on uncorrected citizen-science counts will systematically overstate recovery and should propagate detection correction into the functional and compositional axes that homogenization actually inhabits. Second, the grids where naive and corrected trends disagree deserve targeted ground validation, because that is where unmodelled data would most mislead. Third, the winners-and-losers structure flags narrow-range montane forest specialists as the assemblages most at risk of being masked by aggregate gains, a priority that richness-based reporting would hide.</w:t>
      </w:r>
    </w:p>
    <w:p>
      <w:pPr>
        <w:pStyle w:val="BodyText"/>
      </w:pPr>
      <w:r>
        <w:t xml:space="preserve">Several limitations bound these conclusions. The 500-species model is temporal and non-spatial and supports breadth and generality, not spatial mechanism; all spatial inference rests on the 200-species model. The trait and environmental mechanism analyses are complete-case (n = 200 species) and should be extended before strong trait claims are generalized to the full pool. The relaxed-closure design using five-year periods is justified by sensitivity analysis with shorter windows but remains an approximation. Environmental associations are observational and spatially structured, and we avoid causal language accordingly. Finally, the strength of the functional-homogenization claim is calibrated to the posterior credible intervals of the functional metrics, and we report it at the strength the intervals support.</w:t>
      </w:r>
    </w:p>
    <w:p>
      <w:pPr>
        <w:pStyle w:val="BodyText"/>
      </w:pPr>
      <w:r>
        <w:t xml:space="preserve">Detection correction did not erase the national richness increase, and we do not claim Chinese bird communities are collapsing. We claim something more specific and, for the citizen-science era, more general: gains in observed and corrected richness can coincide with stagnant functional space and rising nestedness, so biodiversity inference from volunteer data must model detectability and then look beyond richness before change is called recovery.</w:t>
      </w:r>
    </w:p>
    <w:p>
      <w:r>
        <w:pict>
          <v:rect style="width:0;height:1.5pt" o:hralign="center" o:hrstd="t" o:hr="t"/>
        </w:pict>
      </w:r>
    </w:p>
    <w:bookmarkEnd w:id="19"/>
    <w:bookmarkStart w:id="29" w:name="methods"/>
    <w:p>
      <w:pPr>
        <w:pStyle w:val="Heading2"/>
      </w:pPr>
      <w:r>
        <w:t xml:space="preserve">Methods</w:t>
      </w:r>
    </w:p>
    <w:bookmarkStart w:id="20" w:name="data-integration"/>
    <w:p>
      <w:pPr>
        <w:pStyle w:val="Heading3"/>
      </w:pPr>
      <w:r>
        <w:t xml:space="preserve">Data integration</w:t>
      </w:r>
    </w:p>
    <w:p>
      <w:pPr>
        <w:pStyle w:val="FirstParagraph"/>
      </w:pPr>
      <w:r>
        <w:t xml:space="preserve">We combined occurrence records from the China Birdwatching Records Center with curated GBIF and eBird records for China, 2000–2024, following analytical guidance for community-science occurrence data (Johnston et al. 2021). Records were harmonized for taxonomy, date, coordinates and source identity, and deduplicated with a source-aware rule keyed on species, date, rounded coordinates, source and observer, which removes within-source duplicates without collapsing genuine cross-platform records. A reproducible deduplication audit and source-wise annual coverage table are provided (Supplementary Table S1).</w:t>
      </w:r>
    </w:p>
    <w:bookmarkEnd w:id="20"/>
    <w:bookmarkStart w:id="21" w:name="spatial-and-temporal-design"/>
    <w:p>
      <w:pPr>
        <w:pStyle w:val="Heading3"/>
      </w:pPr>
      <w:r>
        <w:t xml:space="preserve">Spatial and temporal design</w:t>
      </w:r>
    </w:p>
    <w:p>
      <w:pPr>
        <w:pStyle w:val="FirstParagraph"/>
      </w:pPr>
      <w:r>
        <w:t xml:space="preserve">Records were aggregated to a 100-km equal-area grid and five five-year periods (2000–2004, 2005–2009, 2010–2014, 2015–2019, 2020–2024). The primary analysis used the 1,247 grid cells with data. Within-period years served as repeated occasions in the survey-history construction, a relaxed-closure design (Rota et al. 2009) evaluated with a three-year-window sensitivity analysis (Supplementary Information §S2).</w:t>
      </w:r>
    </w:p>
    <w:bookmarkEnd w:id="21"/>
    <w:bookmarkStart w:id="22" w:name="X18e637ab837fcd1c18351d193ae334106f05f8a"/>
    <w:p>
      <w:pPr>
        <w:pStyle w:val="Heading3"/>
      </w:pPr>
      <w:r>
        <w:t xml:space="preserve">Spatial multispecies dynamic occupancy model (200 species)</w:t>
      </w:r>
    </w:p>
    <w:p>
      <w:pPr>
        <w:pStyle w:val="FirstParagraph"/>
      </w:pPr>
      <w:r>
        <w:t xml:space="preserve">The primary model was a spatial multispecies dynamic occupancy model fitted with</w:t>
      </w:r>
      <w:r>
        <w:t xml:space="preserve"> </w:t>
      </w:r>
      <w:r>
        <w:rPr>
          <w:rStyle w:val="VerbatimChar"/>
        </w:rPr>
        <w:t xml:space="preserve">spOccupancy::stMsPGOcc</w:t>
      </w:r>
      <w:r>
        <w:t xml:space="preserve"> </w:t>
      </w:r>
      <w:r>
        <w:t xml:space="preserve">(Doser et al. 2022). The occupancy sub-model included climatic, topographic, habitat, human-footprint (Mu et al. 2022), land-cover (Yang &amp; Huang 2021), spatial-coordinate and scaled-time covariates, with AR(1) temporal dynamics and nearest-neighbour Gaussian process (NNGP) spatial random effects under an exponential covariance. The detection sub-model included survey effort (</w:t>
      </w:r>
      <w:r>
        <w:rPr>
          <w:rStyle w:val="VerbatimChar"/>
        </w:rPr>
        <w:t xml:space="preserve">log_events</w:t>
      </w:r>
      <w:r>
        <w:t xml:space="preserve">), survey duration (</w:t>
      </w:r>
      <w:r>
        <w:rPr>
          <w:rStyle w:val="VerbatimChar"/>
        </w:rPr>
        <w:t xml:space="preserve">log_duration</w:t>
      </w:r>
      <w:r>
        <w:t xml:space="preserve">), a missing-duration indicator, and a data-source term distinguishing China Birdwatching Records Center from GBIF/eBird records to absorb platform-specific detectability. The spatial decay prior</w:t>
      </w:r>
      <w:r>
        <w:t xml:space="preserve"> </w:t>
      </w:r>
      <w:r>
        <w:rPr>
          <w:rStyle w:val="VerbatimChar"/>
        </w:rPr>
        <w:t xml:space="preserve">phi</w:t>
      </w:r>
      <w:r>
        <w:t xml:space="preserve"> </w:t>
      </w:r>
      <w:r>
        <w:t xml:space="preserve">was set from the distribution of pairwise distances and validated against the 100-km national extent with a prior-sensitivity analysis confirming the posterior did not concentrate at the prior bound (Supplementary Information §S3). Models were run with four chains; we report maximum R̂, minimum bulk and tail effective sample sizes, WAIC, and posterior predictive checks (Supplementary Table S4).</w:t>
      </w:r>
    </w:p>
    <w:bookmarkEnd w:id="22"/>
    <w:bookmarkStart w:id="23" w:name="temporal-multispecies-model-500-species"/>
    <w:p>
      <w:pPr>
        <w:pStyle w:val="Heading3"/>
      </w:pPr>
      <w:r>
        <w:t xml:space="preserve">Temporal multispecies model (500 species)</w:t>
      </w:r>
    </w:p>
    <w:p>
      <w:pPr>
        <w:pStyle w:val="FirstParagraph"/>
      </w:pPr>
      <w:r>
        <w:t xml:space="preserve">A breadth extension modelled 500 species with</w:t>
      </w:r>
      <w:r>
        <w:t xml:space="preserve"> </w:t>
      </w:r>
      <w:r>
        <w:rPr>
          <w:rStyle w:val="VerbatimChar"/>
        </w:rPr>
        <w:t xml:space="preserve">spOccupancy::tMsPGOcc</w:t>
      </w:r>
      <w:r>
        <w:t xml:space="preserve">, AR(1) temporal dynamics and ten latent factors. This model is temporal and omits NNGP spatial structure to remain tractable at 500 species; it is used only to test the generality of the taxonomic and species-level signals and is never interpreted spatially.</w:t>
      </w:r>
    </w:p>
    <w:bookmarkEnd w:id="23"/>
    <w:bookmarkStart w:id="24" w:name="posterior-diversity-propagation"/>
    <w:p>
      <w:pPr>
        <w:pStyle w:val="Heading3"/>
      </w:pPr>
      <w:r>
        <w:t xml:space="preserve">Posterior diversity propagation</w:t>
      </w:r>
    </w:p>
    <w:p>
      <w:pPr>
        <w:pStyle w:val="FirstParagraph"/>
      </w:pPr>
      <w:r>
        <w:t xml:space="preserve">For each posterior occupancy draw, grid and period we computed expected species richness as the sum of occupancy probabilities, plus Shannon and inverse Simpson diversity, multidimensional functional indices (functional trait volume, functional evenness and divergence; Villéger et al. 2008), Rao’s quadratic entropy (Laliberté &amp; Legendre 2010), a functional-diversity framework following Petchey &amp; Gaston (2006), and phylogenetic diversity and mean pairwise distance (Faith 1992). Functional traits came from AVONET (Tobias et al. 2022) and EltonTraits (Wilman et al. 2014) with IUCN-derived habitat breadth and diet-specialization scores (Morelli et al. 2021); morphological trait space follows the form-to-function mapping established for birds (Pigot et al. 2020); missing traits were imputed (Supplementary Information §S5). Phylogenetic metrics used the verified probability-weighted phylogeny derived from the global bird tree (Jetz et al. 2012). All derived metrics are reported with posterior credible intervals propagated from the occupancy posterior.</w:t>
      </w:r>
    </w:p>
    <w:bookmarkEnd w:id="24"/>
    <w:bookmarkStart w:id="25" w:name="X9e72df5516f44565a816a2dfa24d17673bd8630"/>
    <w:p>
      <w:pPr>
        <w:pStyle w:val="Heading3"/>
      </w:pPr>
      <w:r>
        <w:t xml:space="preserve">Probabilistic temporal beta-diversity partitioning</w:t>
      </w:r>
    </w:p>
    <w:p>
      <w:pPr>
        <w:pStyle w:val="FirstParagraph"/>
      </w:pPr>
      <w:r>
        <w:t xml:space="preserve">We partitioned temporal beta diversity between adjacent periods into turnover and nestedness components using a probability-weighted generalization of the Baselga framework (Baselga 2010, 2012; Legendre 2014), with expected shared occupancy defined as the sum of per-species pairwise minima of occupancy probabilities. The bounds and decomposition behaviour of this probabilistic generalization are derived in Supplementary Information §S6. Spatial beta diversity among grids within each period was computed analogously to test directly for compositional convergence through time (Supplementary Information §S6).</w:t>
      </w:r>
    </w:p>
    <w:bookmarkEnd w:id="25"/>
    <w:bookmarkStart w:id="26" w:name="species-trends-traits-and-drivers"/>
    <w:p>
      <w:pPr>
        <w:pStyle w:val="Heading3"/>
      </w:pPr>
      <w:r>
        <w:t xml:space="preserve">Species trends, traits and drivers</w:t>
      </w:r>
    </w:p>
    <w:p>
      <w:pPr>
        <w:pStyle w:val="FirstParagraph"/>
      </w:pPr>
      <w:r>
        <w:t xml:space="preserve">Species-level occupancy trends were estimated from posterior occupancy trajectories and classified as expanding, stable or contracting from the posterior trend direction and its credible interval. Grid-level diversity trends used Theil–Sen slopes with Mann–Kendall tests. Trait–trend and environment–trend associations were tested with Spearman correlations on complete-case species (n = 200). Community-trend drivers were analysed with variation partitioning (Borcard et al. 1992) and random-forest permutation importance (Breiman 2001); results are interpreted as spatially structured associations, not causal effects.</w:t>
      </w:r>
    </w:p>
    <w:bookmarkEnd w:id="26"/>
    <w:bookmarkStart w:id="27" w:name="effort-confound-controls"/>
    <w:p>
      <w:pPr>
        <w:pStyle w:val="Heading3"/>
      </w:pPr>
      <w:r>
        <w:t xml:space="preserve">Effort-confound controls</w:t>
      </w:r>
    </w:p>
    <w:p>
      <w:pPr>
        <w:pStyle w:val="FirstParagraph"/>
      </w:pPr>
      <w:r>
        <w:t xml:space="preserve">To separate genuine range change from growing detectability we (i) report the detection posterior slope on effort, (ii) re-estimate trends in grids where effort saturated before 2010, (iii) compute a fixed-effort counterfactual holding detection covariates at 2000–2004 values, and (iv) compare models with and without the data-source detection term (Supplementary Information §S7).</w:t>
      </w:r>
    </w:p>
    <w:bookmarkEnd w:id="27"/>
    <w:bookmarkStart w:id="28" w:name="software-and-reproducibility"/>
    <w:p>
      <w:pPr>
        <w:pStyle w:val="Heading3"/>
      </w:pPr>
      <w:r>
        <w:t xml:space="preserve">Software and reproducibility</w:t>
      </w:r>
    </w:p>
    <w:p>
      <w:pPr>
        <w:pStyle w:val="FirstParagraph"/>
      </w:pPr>
      <w:r>
        <w:t xml:space="preserve">Analyses used R with</w:t>
      </w:r>
      <w:r>
        <w:t xml:space="preserve"> </w:t>
      </w:r>
      <w:r>
        <w:rPr>
          <w:rStyle w:val="VerbatimChar"/>
        </w:rPr>
        <w:t xml:space="preserve">spOccupancy</w:t>
      </w:r>
      <w:r>
        <w:t xml:space="preserve">,</w:t>
      </w:r>
      <w:r>
        <w:t xml:space="preserve"> </w:t>
      </w:r>
      <w:r>
        <w:rPr>
          <w:rStyle w:val="VerbatimChar"/>
        </w:rPr>
        <w:t xml:space="preserve">brms</w:t>
      </w:r>
      <w:r>
        <w:t xml:space="preserve">,</w:t>
      </w:r>
      <w:r>
        <w:t xml:space="preserve"> </w:t>
      </w:r>
      <w:r>
        <w:rPr>
          <w:rStyle w:val="VerbatimChar"/>
        </w:rPr>
        <w:t xml:space="preserve">cmdstanr</w:t>
      </w:r>
      <w:r>
        <w:t xml:space="preserve">,</w:t>
      </w:r>
      <w:r>
        <w:t xml:space="preserve"> </w:t>
      </w:r>
      <w:r>
        <w:rPr>
          <w:rStyle w:val="VerbatimChar"/>
        </w:rPr>
        <w:t xml:space="preserve">ape</w:t>
      </w:r>
      <w:r>
        <w:t xml:space="preserve">,</w:t>
      </w:r>
      <w:r>
        <w:t xml:space="preserve"> </w:t>
      </w:r>
      <w:r>
        <w:rPr>
          <w:rStyle w:val="VerbatimChar"/>
        </w:rPr>
        <w:t xml:space="preserve">vegan</w:t>
      </w:r>
      <w:r>
        <w:t xml:space="preserve">,</w:t>
      </w:r>
      <w:r>
        <w:t xml:space="preserve"> </w:t>
      </w:r>
      <w:r>
        <w:rPr>
          <w:rStyle w:val="VerbatimChar"/>
        </w:rPr>
        <w:t xml:space="preserve">sf</w:t>
      </w:r>
      <w:r>
        <w:t xml:space="preserve">,</w:t>
      </w:r>
      <w:r>
        <w:t xml:space="preserve"> </w:t>
      </w:r>
      <w:r>
        <w:rPr>
          <w:rStyle w:val="VerbatimChar"/>
        </w:rPr>
        <w:t xml:space="preserve">terra</w:t>
      </w:r>
      <w:r>
        <w:t xml:space="preserve"> </w:t>
      </w:r>
      <w:r>
        <w:t xml:space="preserve">and</w:t>
      </w:r>
      <w:r>
        <w:t xml:space="preserve"> </w:t>
      </w:r>
      <w:r>
        <w:rPr>
          <w:rStyle w:val="VerbatimChar"/>
        </w:rPr>
        <w:t xml:space="preserve">ggplot2</w:t>
      </w:r>
      <w:r>
        <w:t xml:space="preserve">. The submission package includes a locked</w:t>
      </w:r>
      <w:r>
        <w:t xml:space="preserve"> </w:t>
      </w:r>
      <w:r>
        <w:rPr>
          <w:rStyle w:val="VerbatimChar"/>
        </w:rPr>
        <w:t xml:space="preserve">sessionInfo</w:t>
      </w:r>
      <w:r>
        <w:t xml:space="preserve">, code hash, data manifest, model-fit checksums and a Zenodo archive DOI.</w:t>
      </w:r>
    </w:p>
    <w:p>
      <w:r>
        <w:pict>
          <v:rect style="width:0;height:1.5pt" o:hralign="center" o:hrstd="t" o:hr="t"/>
        </w:pict>
      </w:r>
    </w:p>
    <w:bookmarkEnd w:id="28"/>
    <w:bookmarkEnd w:id="29"/>
    <w:bookmarkStart w:id="30" w:name="main-figures"/>
    <w:p>
      <w:pPr>
        <w:pStyle w:val="Heading2"/>
      </w:pPr>
      <w:r>
        <w:t xml:space="preserve">Main figures</w:t>
      </w:r>
    </w:p>
    <w:p>
      <w:pPr>
        <w:pStyle w:val="FirstParagraph"/>
      </w:pPr>
      <w:r>
        <w:rPr>
          <w:b/>
          <w:bCs/>
        </w:rPr>
        <w:t xml:space="preserve">Figure 1 | Study design and inference framework.</w:t>
      </w:r>
      <w:r>
        <w:t xml:space="preserve"> </w:t>
      </w:r>
      <w:r>
        <w:t xml:space="preserve">Record integration and source-aware deduplication; spatial multispecies dynamic occupancy correction; posterior propagation into taxonomic, functional and phylogenetic diversity; temporal and spatial beta-diversity partitioning; trait and driver analysis; and the naive-versus-corrected comparison, shown as a single conceptual pipeline.</w:t>
      </w:r>
    </w:p>
    <w:p>
      <w:pPr>
        <w:pStyle w:val="BodyText"/>
      </w:pPr>
      <w:r>
        <w:rPr>
          <w:b/>
          <w:bCs/>
        </w:rPr>
        <w:t xml:space="preserve">Figure 2 | Detection-corrected multidimensional diversity through time (200-species spatial model).</w:t>
      </w:r>
      <w:r>
        <w:t xml:space="preserve"> </w:t>
      </w:r>
      <w:r>
        <w:t xml:space="preserve">Five-period maps of corrected richness, Shannon diversity, functional trait volume, Rao’s quadratic entropy, and probability-weighted phylogenetic diversity, with a summary panel of national means and credible intervals showing richness rising while functional volume does not.</w:t>
      </w:r>
    </w:p>
    <w:p>
      <w:pPr>
        <w:pStyle w:val="BodyText"/>
      </w:pPr>
      <w:r>
        <w:rPr>
          <w:b/>
          <w:bCs/>
        </w:rPr>
        <w:t xml:space="preserve">Figure 3 | Geography of change.</w:t>
      </w:r>
      <w:r>
        <w:t xml:space="preserve"> </w:t>
      </w:r>
      <w:r>
        <w:t xml:space="preserve">Spatial maps of corrected-richness, functional-trait-volume and phylogenetic trend z-scores with uncertainty masking, contrasting taxonomic gain against flat-to-declining functional space.</w:t>
      </w:r>
    </w:p>
    <w:p>
      <w:pPr>
        <w:pStyle w:val="BodyText"/>
      </w:pPr>
      <w:r>
        <w:rPr>
          <w:b/>
          <w:bCs/>
        </w:rPr>
        <w:t xml:space="preserve">Figure 4 | Temporal beta-diversity reorganization and compositional convergence.</w:t>
      </w:r>
      <w:r>
        <w:t xml:space="preserve"> </w:t>
      </w:r>
      <w:r>
        <w:t xml:space="preserve">Turnover and nestedness proportions across adjacent periods for both species pools, the late nestedness shift highlighted, paired with the spatial-beta-diversity time series testing among-grid convergence.</w:t>
      </w:r>
    </w:p>
    <w:p>
      <w:pPr>
        <w:pStyle w:val="BodyText"/>
      </w:pPr>
      <w:r>
        <w:rPr>
          <w:b/>
          <w:bCs/>
        </w:rPr>
        <w:t xml:space="preserve">Figure 5 | Winners, losers and their traits.</w:t>
      </w:r>
      <w:r>
        <w:t xml:space="preserve"> </w:t>
      </w:r>
      <w:r>
        <w:t xml:space="preserve">Posterior species-trend forest plot for leading expanding and contracting species (200-species model, with a 500-species supplementary panel), alongside the habitat-breadth-versus-trend relationship and random-forest driver importance.</w:t>
      </w:r>
    </w:p>
    <w:p>
      <w:pPr>
        <w:pStyle w:val="BodyText"/>
      </w:pPr>
      <w:r>
        <w:t xml:space="preserve">(Naive-versus-corrected comparison and full 500-species panels are provided as Supplementary Figures.)</w:t>
      </w:r>
    </w:p>
    <w:p>
      <w:r>
        <w:pict>
          <v:rect style="width:0;height:1.5pt" o:hralign="center" o:hrstd="t" o:hr="t"/>
        </w:pict>
      </w:r>
    </w:p>
    <w:bookmarkEnd w:id="30"/>
    <w:bookmarkStart w:id="31" w:name="statements"/>
    <w:p>
      <w:pPr>
        <w:pStyle w:val="Heading2"/>
      </w:pPr>
      <w:r>
        <w:t xml:space="preserve">Statements</w:t>
      </w:r>
    </w:p>
    <w:p>
      <w:pPr>
        <w:pStyle w:val="FirstParagraph"/>
      </w:pPr>
      <w:r>
        <w:rPr>
          <w:b/>
          <w:bCs/>
        </w:rPr>
        <w:t xml:space="preserve">Data availability.</w:t>
      </w:r>
      <w:r>
        <w:t xml:space="preserve"> </w:t>
      </w:r>
      <w:r>
        <w:t xml:space="preserve">Derived tables and figures will be archived with a DOI (Zenodo) on acceptance. Raw records are subject to source-provider terms; China Birdwatching Records Center, GBIF and eBird access conditions are described in Supplementary Information §S1.</w:t>
      </w:r>
    </w:p>
    <w:p>
      <w:pPr>
        <w:pStyle w:val="BodyText"/>
      </w:pPr>
      <w:r>
        <w:rPr>
          <w:b/>
          <w:bCs/>
        </w:rPr>
        <w:t xml:space="preserve">Code availability.</w:t>
      </w:r>
      <w:r>
        <w:t xml:space="preserve"> </w:t>
      </w:r>
      <w:r>
        <w:t xml:space="preserve">Analysis code is available at [repository/Zenodo DOI], with a locked</w:t>
      </w:r>
      <w:r>
        <w:t xml:space="preserve"> </w:t>
      </w:r>
      <w:r>
        <w:rPr>
          <w:rStyle w:val="VerbatimChar"/>
        </w:rPr>
        <w:t xml:space="preserve">sessionInfo</w:t>
      </w:r>
      <w:r>
        <w:t xml:space="preserve">, code hash and data manifest.</w:t>
      </w:r>
    </w:p>
    <w:p>
      <w:pPr>
        <w:pStyle w:val="BodyText"/>
      </w:pPr>
      <w:r>
        <w:rPr>
          <w:b/>
          <w:bCs/>
        </w:rPr>
        <w:t xml:space="preserve">Ethics.</w:t>
      </w:r>
      <w:r>
        <w:t xml:space="preserve"> </w:t>
      </w:r>
      <w:r>
        <w:t xml:space="preserve">This study used pre-existing occurrence records and required no animal handling or human-subject data.</w:t>
      </w:r>
    </w:p>
    <w:p>
      <w:pPr>
        <w:pStyle w:val="BodyText"/>
      </w:pPr>
      <w:r>
        <w:rPr>
          <w:b/>
          <w:bCs/>
        </w:rPr>
        <w:t xml:space="preserve">Author contributions (CRediT).</w:t>
      </w:r>
      <w:r>
        <w:t xml:space="preserve"> </w:t>
      </w:r>
      <w:r>
        <w:t xml:space="preserve">C.D.: conceptualization, methodology, software, formal analysis, data curation, writing – original draft, visualization. [Co-authors: roles to be assigned.]</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Funding.</w:t>
      </w:r>
      <w:r>
        <w:t xml:space="preserve"> </w:t>
      </w:r>
      <w:r>
        <w:t xml:space="preserve">[To be completed.]</w:t>
      </w:r>
    </w:p>
    <w:p>
      <w:pPr>
        <w:pStyle w:val="BodyText"/>
      </w:pPr>
      <w:r>
        <w:rPr>
          <w:b/>
          <w:bCs/>
        </w:rPr>
        <w:t xml:space="preserve">AI-usage disclosure.</w:t>
      </w:r>
      <w:r>
        <w:t xml:space="preserve"> </w:t>
      </w:r>
      <w:r>
        <w:t xml:space="preserve">Generative AI tools were used to assist with manuscript drafting and language editing under author supervision; all analyses, interpretations and final text are the authors’ responsibility, and no AI tool was used to generate or alter data, results or citations.</w:t>
      </w:r>
    </w:p>
    <w:p>
      <w:r>
        <w:pict>
          <v:rect style="width:0;height:1.5pt" o:hralign="center" o:hrstd="t" o:hr="t"/>
        </w:pict>
      </w:r>
    </w:p>
    <w:bookmarkEnd w:id="31"/>
    <w:bookmarkStart w:id="32" w:name="references"/>
    <w:p>
      <w:pPr>
        <w:pStyle w:val="Heading2"/>
      </w:pPr>
      <w:r>
        <w:t xml:space="preserve">References</w:t>
      </w:r>
    </w:p>
    <w:p>
      <w:pPr>
        <w:pStyle w:val="BlockText"/>
      </w:pPr>
      <w:r>
        <w:rPr>
          <w:b/>
          <w:bCs/>
        </w:rPr>
        <w:t xml:space="preserve">Reference notes (remove before submission).</w:t>
      </w:r>
      <w:r>
        <w:t xml:space="preserve"> </w:t>
      </w:r>
      <w:r>
        <w:t xml:space="preserve">All entries below (1–42) were DOI-verified against Crossref on 2026-06-02. Three years were corrected during verification: Callaghan et al. </w:t>
      </w:r>
      <w:r>
        <w:rPr>
          <w:b/>
          <w:bCs/>
        </w:rPr>
        <w:t xml:space="preserve">2020</w:t>
      </w:r>
      <w:r>
        <w:t xml:space="preserve"> </w:t>
      </w:r>
      <w:r>
        <w:t xml:space="preserve">(not 2021), Clavel et al. </w:t>
      </w:r>
      <w:r>
        <w:rPr>
          <w:b/>
          <w:bCs/>
        </w:rPr>
        <w:t xml:space="preserve">2010</w:t>
      </w:r>
      <w:r>
        <w:t xml:space="preserve"> </w:t>
      </w:r>
      <w:r>
        <w:t xml:space="preserve">(not 2011), Devictor et al. </w:t>
      </w:r>
      <w:r>
        <w:rPr>
          <w:b/>
          <w:bCs/>
        </w:rPr>
        <w:t xml:space="preserve">2007</w:t>
      </w:r>
      <w:r>
        <w:t xml:space="preserve"> </w:t>
      </w:r>
      <w:r>
        <w:t xml:space="preserve">(not 2008). Reference 16 (Kéry &amp; Royle, book) has no journal DOI. References 43–45 are China-context placeholders requiring author selection of specific papers, then DOI verification. In-text citations use author–year for editability; NEE’s final style is numbered superscripts, convertible via Zotero/EndNote at formatting stage.</w:t>
      </w:r>
    </w:p>
    <w:p>
      <w:pPr>
        <w:pStyle w:val="FirstParagraph"/>
      </w:pPr>
      <w:r>
        <w:rPr>
          <w:b/>
          <w:bCs/>
        </w:rPr>
        <w:t xml:space="preserve">Verified anchors (✓)</w:t>
      </w:r>
    </w:p>
    <w:p>
      <w:pPr>
        <w:pStyle w:val="Compact"/>
        <w:numPr>
          <w:ilvl w:val="0"/>
          <w:numId w:val="1001"/>
        </w:numPr>
      </w:pPr>
      <w:r>
        <w:t xml:space="preserve">✓ Baselga, A. (2010). Partitioning the turnover and nestedness components of beta diversity.</w:t>
      </w:r>
      <w:r>
        <w:t xml:space="preserve"> </w:t>
      </w:r>
      <w:r>
        <w:rPr>
          <w:i/>
          <w:iCs/>
        </w:rPr>
        <w:t xml:space="preserve">Global Ecology and Biogeography</w:t>
      </w:r>
      <w:r>
        <w:t xml:space="preserve">, 19, 134–143. https://doi.org/10.1111/j.1466-8238.2009.00490.x</w:t>
      </w:r>
    </w:p>
    <w:p>
      <w:pPr>
        <w:pStyle w:val="Compact"/>
        <w:numPr>
          <w:ilvl w:val="0"/>
          <w:numId w:val="1001"/>
        </w:numPr>
      </w:pPr>
      <w:r>
        <w:t xml:space="preserve">✓ Doser, J. W., Finley, A. O., Kéry, M., &amp; Zipkin, E. F. (2022). spOccupancy: An R package for single-species, multi-species, and integrated spatial occupancy models.</w:t>
      </w:r>
      <w:r>
        <w:t xml:space="preserve"> </w:t>
      </w:r>
      <w:r>
        <w:rPr>
          <w:i/>
          <w:iCs/>
        </w:rPr>
        <w:t xml:space="preserve">Methods in Ecology and Evolution</w:t>
      </w:r>
      <w:r>
        <w:t xml:space="preserve">, 13, 1670–1678. https://doi.org/10.1111/2041-210X.13897</w:t>
      </w:r>
    </w:p>
    <w:p>
      <w:pPr>
        <w:pStyle w:val="Compact"/>
        <w:numPr>
          <w:ilvl w:val="0"/>
          <w:numId w:val="1001"/>
        </w:numPr>
      </w:pPr>
      <w:r>
        <w:t xml:space="preserve">✓ Jetz, W., Thomas, G. H., Joy, J. B., Hartmann, K., &amp; Mooers, A. O. (2012). The global diversity of birds in space and time.</w:t>
      </w:r>
      <w:r>
        <w:t xml:space="preserve"> </w:t>
      </w:r>
      <w:r>
        <w:rPr>
          <w:i/>
          <w:iCs/>
        </w:rPr>
        <w:t xml:space="preserve">Nature</w:t>
      </w:r>
      <w:r>
        <w:t xml:space="preserve">, 491, 444–448. https://doi.org/10.1038/nature11631</w:t>
      </w:r>
    </w:p>
    <w:p>
      <w:pPr>
        <w:pStyle w:val="Compact"/>
        <w:numPr>
          <w:ilvl w:val="0"/>
          <w:numId w:val="1001"/>
        </w:numPr>
      </w:pPr>
      <w:r>
        <w:t xml:space="preserve">✓ Morelli, F., Benedetti, Y., Hanson, J. O., &amp; Fuller, R. A. (2021). Global distribution and conservation of avian diet specialization.</w:t>
      </w:r>
      <w:r>
        <w:t xml:space="preserve"> </w:t>
      </w:r>
      <w:r>
        <w:rPr>
          <w:i/>
          <w:iCs/>
        </w:rPr>
        <w:t xml:space="preserve">Conservation Letters</w:t>
      </w:r>
      <w:r>
        <w:t xml:space="preserve">, 14, e12795. https://doi.org/10.1111/conl.12795</w:t>
      </w:r>
    </w:p>
    <w:p>
      <w:pPr>
        <w:pStyle w:val="Compact"/>
        <w:numPr>
          <w:ilvl w:val="0"/>
          <w:numId w:val="1001"/>
        </w:numPr>
      </w:pPr>
      <w:r>
        <w:t xml:space="preserve">✓ Mu, H., et al. (2022). A global record of annual terrestrial Human Footprint dataset from 2000 to 2018.</w:t>
      </w:r>
      <w:r>
        <w:t xml:space="preserve"> </w:t>
      </w:r>
      <w:r>
        <w:rPr>
          <w:i/>
          <w:iCs/>
        </w:rPr>
        <w:t xml:space="preserve">Scientific Data</w:t>
      </w:r>
      <w:r>
        <w:t xml:space="preserve">, 9, 176. https://doi.org/10.1038/s41597-022-01284-8</w:t>
      </w:r>
    </w:p>
    <w:p>
      <w:pPr>
        <w:pStyle w:val="Compact"/>
        <w:numPr>
          <w:ilvl w:val="0"/>
          <w:numId w:val="1001"/>
        </w:numPr>
      </w:pPr>
      <w:r>
        <w:t xml:space="preserve">✓ Rota, C. T., Fletcher, R. J. Jr., Dorazio, R. M., &amp; Betts, M. G. (2009). Occupancy estimation and the closure assumption.</w:t>
      </w:r>
      <w:r>
        <w:t xml:space="preserve"> </w:t>
      </w:r>
      <w:r>
        <w:rPr>
          <w:i/>
          <w:iCs/>
        </w:rPr>
        <w:t xml:space="preserve">Journal of Applied Ecology</w:t>
      </w:r>
      <w:r>
        <w:t xml:space="preserve">, 46, 1173–1181. https://doi.org/10.1111/j.1365-2664.2009.01734.x</w:t>
      </w:r>
    </w:p>
    <w:p>
      <w:pPr>
        <w:pStyle w:val="Compact"/>
        <w:numPr>
          <w:ilvl w:val="0"/>
          <w:numId w:val="1001"/>
        </w:numPr>
      </w:pPr>
      <w:r>
        <w:t xml:space="preserve">✓ Tobias, J. A., et al. (2022). AVONET: morphological, ecological and geographical data for all birds.</w:t>
      </w:r>
      <w:r>
        <w:t xml:space="preserve"> </w:t>
      </w:r>
      <w:r>
        <w:rPr>
          <w:i/>
          <w:iCs/>
        </w:rPr>
        <w:t xml:space="preserve">Ecology Letters</w:t>
      </w:r>
      <w:r>
        <w:t xml:space="preserve">, 25, 581–597. https://doi.org/10.1111/ele.13898</w:t>
      </w:r>
    </w:p>
    <w:p>
      <w:pPr>
        <w:pStyle w:val="Compact"/>
        <w:numPr>
          <w:ilvl w:val="0"/>
          <w:numId w:val="1001"/>
        </w:numPr>
      </w:pPr>
      <w:r>
        <w:t xml:space="preserve">✓ Wilman, H., et al. (2014). EltonTraits 1.0: species-level foraging attributes of the world’s birds and mammals.</w:t>
      </w:r>
      <w:r>
        <w:t xml:space="preserve"> </w:t>
      </w:r>
      <w:r>
        <w:rPr>
          <w:i/>
          <w:iCs/>
        </w:rPr>
        <w:t xml:space="preserve">Ecology</w:t>
      </w:r>
      <w:r>
        <w:t xml:space="preserve">, 95, 2027. https://doi.org/10.1890/13-1917.1</w:t>
      </w:r>
    </w:p>
    <w:p>
      <w:pPr>
        <w:pStyle w:val="Compact"/>
        <w:numPr>
          <w:ilvl w:val="0"/>
          <w:numId w:val="1001"/>
        </w:numPr>
      </w:pPr>
      <w:r>
        <w:t xml:space="preserve">✓ Yang, J., &amp; Huang, X. (2021). The 30 m annual land cover dataset and its dynamics in China from 1990 to 2019.</w:t>
      </w:r>
      <w:r>
        <w:t xml:space="preserve"> </w:t>
      </w:r>
      <w:r>
        <w:rPr>
          <w:i/>
          <w:iCs/>
        </w:rPr>
        <w:t xml:space="preserve">Earth System Science Data</w:t>
      </w:r>
      <w:r>
        <w:t xml:space="preserve">, 13, 3907–3925. https://doi.org/10.5194/essd-13-3907-2021</w:t>
      </w:r>
    </w:p>
    <w:p>
      <w:pPr>
        <w:pStyle w:val="FirstParagraph"/>
      </w:pPr>
      <w:r>
        <w:rPr>
          <w:b/>
          <w:bCs/>
        </w:rPr>
        <w:t xml:space="preserve">Additional references — DOI-verified (Crossref, 2026-06-02)</w:t>
      </w:r>
    </w:p>
    <w:p>
      <w:pPr>
        <w:pStyle w:val="BodyText"/>
      </w:pPr>
      <w:r>
        <w:rPr>
          <w:i/>
          <w:iCs/>
        </w:rPr>
        <w:t xml:space="preserve">Citizen science and detection bias</w:t>
      </w:r>
      <w:r>
        <w:t xml:space="preserve"> </w:t>
      </w:r>
      <w:r>
        <w:t xml:space="preserve">10. Sullivan, B. L., et al. (2009). eBird: a citizen-based bird observation network in the biological sciences.</w:t>
      </w:r>
      <w:r>
        <w:t xml:space="preserve"> </w:t>
      </w:r>
      <w:r>
        <w:rPr>
          <w:i/>
          <w:iCs/>
        </w:rPr>
        <w:t xml:space="preserve">Biological Conservation</w:t>
      </w:r>
      <w:r>
        <w:t xml:space="preserve">, 142, 2282–2292. https://doi.org/10.1016/j.biocon.2009.05.006</w:t>
      </w:r>
      <w:r>
        <w:t xml:space="preserve"> </w:t>
      </w:r>
      <w:r>
        <w:t xml:space="preserve">11. Johnston, A., et al. (2021). Analytical guidelines to increase the value of community science data: an example using eBird data to estimate species distributions.</w:t>
      </w:r>
      <w:r>
        <w:t xml:space="preserve"> </w:t>
      </w:r>
      <w:r>
        <w:rPr>
          <w:i/>
          <w:iCs/>
        </w:rPr>
        <w:t xml:space="preserve">Diversity and Distributions</w:t>
      </w:r>
      <w:r>
        <w:t xml:space="preserve">, 27, 1265–1277. https://doi.org/10.1111/ddi.13271</w:t>
      </w:r>
      <w:r>
        <w:t xml:space="preserve"> </w:t>
      </w:r>
      <w:r>
        <w:t xml:space="preserve">12. Callaghan, C. T., et al. (2020). Three frontiers for the future of biodiversity research using citizen science data.</w:t>
      </w:r>
      <w:r>
        <w:t xml:space="preserve"> </w:t>
      </w:r>
      <w:r>
        <w:rPr>
          <w:i/>
          <w:iCs/>
        </w:rPr>
        <w:t xml:space="preserve">BioScience</w:t>
      </w:r>
      <w:r>
        <w:t xml:space="preserve">, 71, 55–63. https://doi.org/10.1093/biosci/biaa131</w:t>
      </w:r>
      <w:r>
        <w:t xml:space="preserve"> </w:t>
      </w:r>
      <w:r>
        <w:t xml:space="preserve">13. Bird, T. J., et al. (2014). Statistical solutions for error and bias in global citizen science datasets.</w:t>
      </w:r>
      <w:r>
        <w:t xml:space="preserve"> </w:t>
      </w:r>
      <w:r>
        <w:rPr>
          <w:i/>
          <w:iCs/>
        </w:rPr>
        <w:t xml:space="preserve">Biological Conservation</w:t>
      </w:r>
      <w:r>
        <w:t xml:space="preserve">, 173, 144–154. https://doi.org/10.1016/j.biocon.2013.07.037</w:t>
      </w:r>
      <w:r>
        <w:t xml:space="preserve"> </w:t>
      </w:r>
      <w:r>
        <w:t xml:space="preserve">14. Boakes, E. H., et al. (2010). Distorted views of biodiversity: spatial and temporal bias in species occurrence data.</w:t>
      </w:r>
      <w:r>
        <w:t xml:space="preserve"> </w:t>
      </w:r>
      <w:r>
        <w:rPr>
          <w:i/>
          <w:iCs/>
        </w:rPr>
        <w:t xml:space="preserve">PLoS Biology</w:t>
      </w:r>
      <w:r>
        <w:t xml:space="preserve">, 8, e1000385. https://doi.org/10.1371/journal.pbio.1000385</w:t>
      </w:r>
    </w:p>
    <w:p>
      <w:pPr>
        <w:pStyle w:val="BodyText"/>
      </w:pPr>
      <w:r>
        <w:rPr>
          <w:i/>
          <w:iCs/>
        </w:rPr>
        <w:t xml:space="preserve">Occupancy and hierarchical community models</w:t>
      </w:r>
      <w:r>
        <w:t xml:space="preserve"> </w:t>
      </w:r>
      <w:r>
        <w:t xml:space="preserve">15. MacKenzie, D. I., et al. (2003). Estimating site occupancy, colonization, and local extinction when a species is detected imperfectly.</w:t>
      </w:r>
      <w:r>
        <w:t xml:space="preserve"> </w:t>
      </w:r>
      <w:r>
        <w:rPr>
          <w:i/>
          <w:iCs/>
        </w:rPr>
        <w:t xml:space="preserve">Ecology</w:t>
      </w:r>
      <w:r>
        <w:t xml:space="preserve">, 84, 2200–2207. https://doi.org/10.1890/02-3090</w:t>
      </w:r>
      <w:r>
        <w:t xml:space="preserve"> </w:t>
      </w:r>
      <w:r>
        <w:t xml:space="preserve">16. Kéry, M., &amp; Royle, J. A. (2021).</w:t>
      </w:r>
      <w:r>
        <w:t xml:space="preserve"> </w:t>
      </w:r>
      <w:r>
        <w:rPr>
          <w:i/>
          <w:iCs/>
        </w:rPr>
        <w:t xml:space="preserve">Applied Hierarchical Modeling in Ecology: Analysis of Distribution, Abundance and Species Richness in R and BUGS, Vol. 2 — Dynamic and Advanced Models</w:t>
      </w:r>
      <w:r>
        <w:t xml:space="preserve">. Academic Press. (Book; no journal DOI.)</w:t>
      </w:r>
      <w:r>
        <w:t xml:space="preserve"> </w:t>
      </w:r>
      <w:r>
        <w:t xml:space="preserve">17. Dorazio, R. M., &amp; Royle, J. A. (2005). Estimating size and composition of biological communities by modeling the occurrence of species.</w:t>
      </w:r>
      <w:r>
        <w:t xml:space="preserve"> </w:t>
      </w:r>
      <w:r>
        <w:rPr>
          <w:i/>
          <w:iCs/>
        </w:rPr>
        <w:t xml:space="preserve">Journal of the American Statistical Association</w:t>
      </w:r>
      <w:r>
        <w:t xml:space="preserve">, 100, 389–398. https://doi.org/10.1198/016214505000000015</w:t>
      </w:r>
      <w:r>
        <w:t xml:space="preserve"> </w:t>
      </w:r>
      <w:r>
        <w:t xml:space="preserve">18. Guillera-Arroita, G. (2017). Modelling of species distributions, range dynamics and communities under imperfect detection: advances, challenges and opportunities.</w:t>
      </w:r>
      <w:r>
        <w:t xml:space="preserve"> </w:t>
      </w:r>
      <w:r>
        <w:rPr>
          <w:i/>
          <w:iCs/>
        </w:rPr>
        <w:t xml:space="preserve">Ecography</w:t>
      </w:r>
      <w:r>
        <w:t xml:space="preserve">, 40, 281–295. https://doi.org/10.1111/ecog.02445</w:t>
      </w:r>
      <w:r>
        <w:t xml:space="preserve"> </w:t>
      </w:r>
      <w:r>
        <w:t xml:space="preserve">19. Devarajan, K., Morelli, T. L., &amp; Tingley, M. W. (2020). Multi-species occupancy models: review, roadmap, and recommendations.</w:t>
      </w:r>
      <w:r>
        <w:t xml:space="preserve"> </w:t>
      </w:r>
      <w:r>
        <w:rPr>
          <w:i/>
          <w:iCs/>
        </w:rPr>
        <w:t xml:space="preserve">Ecography</w:t>
      </w:r>
      <w:r>
        <w:t xml:space="preserve">, 43, 1612–1624. https://doi.org/10.1111/ecog.04957</w:t>
      </w:r>
    </w:p>
    <w:p>
      <w:pPr>
        <w:pStyle w:val="BodyText"/>
      </w:pPr>
      <w:r>
        <w:rPr>
          <w:i/>
          <w:iCs/>
        </w:rPr>
        <w:t xml:space="preserve">Biotic homogenization and biodiversity change</w:t>
      </w:r>
      <w:r>
        <w:t xml:space="preserve"> </w:t>
      </w:r>
      <w:r>
        <w:t xml:space="preserve">20. McKinney, M. L., &amp; Lockwood, J. L. (1999). Biotic homogenization: a few winners replacing many losers in the next mass extinction.</w:t>
      </w:r>
      <w:r>
        <w:t xml:space="preserve"> </w:t>
      </w:r>
      <w:r>
        <w:rPr>
          <w:i/>
          <w:iCs/>
        </w:rPr>
        <w:t xml:space="preserve">Trends in Ecology &amp; Evolution</w:t>
      </w:r>
      <w:r>
        <w:t xml:space="preserve">, 14, 450–453. https://doi.org/10.1016/S0169-5347(99)01679-1</w:t>
      </w:r>
      <w:r>
        <w:t xml:space="preserve"> </w:t>
      </w:r>
      <w:r>
        <w:t xml:space="preserve">21. Olden, J. D., &amp; Rooney, T. P. (2006). On defining and quantifying biotic homogenization.</w:t>
      </w:r>
      <w:r>
        <w:t xml:space="preserve"> </w:t>
      </w:r>
      <w:r>
        <w:rPr>
          <w:i/>
          <w:iCs/>
        </w:rPr>
        <w:t xml:space="preserve">Global Ecology and Biogeography</w:t>
      </w:r>
      <w:r>
        <w:t xml:space="preserve">, 15, 113–120. https://doi.org/10.1111/j.1466-822X.2006.00214.x</w:t>
      </w:r>
      <w:r>
        <w:t xml:space="preserve"> </w:t>
      </w:r>
      <w:r>
        <w:t xml:space="preserve">22. Clavel, J., Julliard, R., &amp; Devictor, V. (2010). Worldwide decline of specialist species: toward a global functional homogenization?</w:t>
      </w:r>
      <w:r>
        <w:t xml:space="preserve"> </w:t>
      </w:r>
      <w:r>
        <w:rPr>
          <w:i/>
          <w:iCs/>
        </w:rPr>
        <w:t xml:space="preserve">Frontiers in Ecology and the Environment</w:t>
      </w:r>
      <w:r>
        <w:t xml:space="preserve">, 9, 222–228. https://doi.org/10.1890/080216</w:t>
      </w:r>
      <w:r>
        <w:t xml:space="preserve"> </w:t>
      </w:r>
      <w:r>
        <w:t xml:space="preserve">23. Devictor, V., Julliard, R., Clavel, J., Jiguet, F., Lee, A., &amp; Couvet, D. (2007). Functional biotic homogenization of bird communities in disturbed landscapes.</w:t>
      </w:r>
      <w:r>
        <w:t xml:space="preserve"> </w:t>
      </w:r>
      <w:r>
        <w:rPr>
          <w:i/>
          <w:iCs/>
        </w:rPr>
        <w:t xml:space="preserve">Global Ecology and Biogeography</w:t>
      </w:r>
      <w:r>
        <w:t xml:space="preserve">, 17, 252–261. https://doi.org/10.1111/j.1466-8238.2007.00364.x</w:t>
      </w:r>
      <w:r>
        <w:t xml:space="preserve"> </w:t>
      </w:r>
      <w:r>
        <w:t xml:space="preserve">24. Dornelas, M., et al. (2014). Assemblage time series reveal biodiversity change but not systematic loss.</w:t>
      </w:r>
      <w:r>
        <w:t xml:space="preserve"> </w:t>
      </w:r>
      <w:r>
        <w:rPr>
          <w:i/>
          <w:iCs/>
        </w:rPr>
        <w:t xml:space="preserve">Science</w:t>
      </w:r>
      <w:r>
        <w:t xml:space="preserve">, 344, 296–299. https://doi.org/10.1126/science.1248484</w:t>
      </w:r>
      <w:r>
        <w:t xml:space="preserve"> </w:t>
      </w:r>
      <w:r>
        <w:t xml:space="preserve">25. Blowes, S. A., et al. (2019). The geography of biodiversity change in marine and terrestrial assemblages.</w:t>
      </w:r>
      <w:r>
        <w:t xml:space="preserve"> </w:t>
      </w:r>
      <w:r>
        <w:rPr>
          <w:i/>
          <w:iCs/>
        </w:rPr>
        <w:t xml:space="preserve">Science</w:t>
      </w:r>
      <w:r>
        <w:t xml:space="preserve">, 366, 339–345. https://doi.org/10.1126/science.aaw1620</w:t>
      </w:r>
      <w:r>
        <w:t xml:space="preserve"> </w:t>
      </w:r>
      <w:r>
        <w:t xml:space="preserve">26. Daskalova, G. N., et al. (2020). Landscape-scale forest loss as a catalyst of population and biodiversity change.</w:t>
      </w:r>
      <w:r>
        <w:t xml:space="preserve"> </w:t>
      </w:r>
      <w:r>
        <w:rPr>
          <w:i/>
          <w:iCs/>
        </w:rPr>
        <w:t xml:space="preserve">Science</w:t>
      </w:r>
      <w:r>
        <w:t xml:space="preserve">, 368, 1341–1347. https://doi.org/10.1126/science.aba1289</w:t>
      </w:r>
    </w:p>
    <w:p>
      <w:pPr>
        <w:pStyle w:val="BodyText"/>
      </w:pPr>
      <w:r>
        <w:rPr>
          <w:i/>
          <w:iCs/>
        </w:rPr>
        <w:t xml:space="preserve">Functional and phylogenetic diversity</w:t>
      </w:r>
      <w:r>
        <w:t xml:space="preserve"> </w:t>
      </w:r>
      <w:r>
        <w:t xml:space="preserve">27. Villéger, S., Mason, N. W. H., &amp; Mouillot, D. (2008). New multidimensional functional diversity indices for a multifaceted framework in functional ecology.</w:t>
      </w:r>
      <w:r>
        <w:t xml:space="preserve"> </w:t>
      </w:r>
      <w:r>
        <w:rPr>
          <w:i/>
          <w:iCs/>
        </w:rPr>
        <w:t xml:space="preserve">Ecology</w:t>
      </w:r>
      <w:r>
        <w:t xml:space="preserve">, 89, 2290–2301. https://doi.org/10.1890/07-1206.1</w:t>
      </w:r>
      <w:r>
        <w:t xml:space="preserve"> </w:t>
      </w:r>
      <w:r>
        <w:t xml:space="preserve">28. Laliberté, E., &amp; Legendre, P. (2010). A distance-based framework for measuring functional diversity from multiple traits.</w:t>
      </w:r>
      <w:r>
        <w:t xml:space="preserve"> </w:t>
      </w:r>
      <w:r>
        <w:rPr>
          <w:i/>
          <w:iCs/>
        </w:rPr>
        <w:t xml:space="preserve">Ecology</w:t>
      </w:r>
      <w:r>
        <w:t xml:space="preserve">, 91, 299–305. https://doi.org/10.1890/08-2244.1</w:t>
      </w:r>
      <w:r>
        <w:t xml:space="preserve"> </w:t>
      </w:r>
      <w:r>
        <w:t xml:space="preserve">29. Petchey, O. L., &amp; Gaston, K. J. (2006). Functional diversity: back to basics and looking forward.</w:t>
      </w:r>
      <w:r>
        <w:t xml:space="preserve"> </w:t>
      </w:r>
      <w:r>
        <w:rPr>
          <w:i/>
          <w:iCs/>
        </w:rPr>
        <w:t xml:space="preserve">Ecology Letters</w:t>
      </w:r>
      <w:r>
        <w:t xml:space="preserve">, 9, 741–758. https://doi.org/10.1111/j.1461-0248.2006.00924.x</w:t>
      </w:r>
      <w:r>
        <w:t xml:space="preserve"> </w:t>
      </w:r>
      <w:r>
        <w:t xml:space="preserve">30. Faith, D. P. (1992). Conservation evaluation and phylogenetic diversity.</w:t>
      </w:r>
      <w:r>
        <w:t xml:space="preserve"> </w:t>
      </w:r>
      <w:r>
        <w:rPr>
          <w:i/>
          <w:iCs/>
        </w:rPr>
        <w:t xml:space="preserve">Biological Conservation</w:t>
      </w:r>
      <w:r>
        <w:t xml:space="preserve">, 61, 1–10. https://doi.org/10.1016/0006-3207(92)91201-3</w:t>
      </w:r>
      <w:r>
        <w:t xml:space="preserve"> </w:t>
      </w:r>
      <w:r>
        <w:t xml:space="preserve">31. Jarzyna, M. A., &amp; Jetz, W. (2017). A near half-century of temporal change in different facets of avian diversity.</w:t>
      </w:r>
      <w:r>
        <w:t xml:space="preserve"> </w:t>
      </w:r>
      <w:r>
        <w:rPr>
          <w:i/>
          <w:iCs/>
        </w:rPr>
        <w:t xml:space="preserve">Global Change Biology</w:t>
      </w:r>
      <w:r>
        <w:t xml:space="preserve">, 23, 2999–3011. https://doi.org/10.1111/gcb.13571</w:t>
      </w:r>
      <w:r>
        <w:t xml:space="preserve"> </w:t>
      </w:r>
      <w:r>
        <w:t xml:space="preserve">32. Jarzyna, M. A., &amp; Jetz, W. (2018). Taxonomic and functional diversity change is scale dependent.</w:t>
      </w:r>
      <w:r>
        <w:t xml:space="preserve"> </w:t>
      </w:r>
      <w:r>
        <w:rPr>
          <w:i/>
          <w:iCs/>
        </w:rPr>
        <w:t xml:space="preserve">Nature Communications</w:t>
      </w:r>
      <w:r>
        <w:t xml:space="preserve">, 9, 2565. https://doi.org/10.1038/s41467-018-04889-z</w:t>
      </w:r>
    </w:p>
    <w:p>
      <w:pPr>
        <w:pStyle w:val="BodyText"/>
      </w:pPr>
      <w:r>
        <w:rPr>
          <w:i/>
          <w:iCs/>
        </w:rPr>
        <w:t xml:space="preserve">Beta-diversity theory</w:t>
      </w:r>
      <w:r>
        <w:t xml:space="preserve"> </w:t>
      </w:r>
      <w:r>
        <w:t xml:space="preserve">33. Baselga, A. (2012). The relationship between species replacement, dissimilarity derived from nestedness, and nestedness.</w:t>
      </w:r>
      <w:r>
        <w:t xml:space="preserve"> </w:t>
      </w:r>
      <w:r>
        <w:rPr>
          <w:i/>
          <w:iCs/>
        </w:rPr>
        <w:t xml:space="preserve">Global Ecology and Biogeography</w:t>
      </w:r>
      <w:r>
        <w:t xml:space="preserve">, 21, 1223–1232. https://doi.org/10.1111/j.1466-8238.2011.00756.x</w:t>
      </w:r>
      <w:r>
        <w:t xml:space="preserve"> </w:t>
      </w:r>
      <w:r>
        <w:t xml:space="preserve">34. Legendre, P. (2014). Interpreting the replacement and richness difference components of beta diversity.</w:t>
      </w:r>
      <w:r>
        <w:t xml:space="preserve"> </w:t>
      </w:r>
      <w:r>
        <w:rPr>
          <w:i/>
          <w:iCs/>
        </w:rPr>
        <w:t xml:space="preserve">Global Ecology and Biogeography</w:t>
      </w:r>
      <w:r>
        <w:t xml:space="preserve">, 23, 1324–1334. https://doi.org/10.1111/geb.12207</w:t>
      </w:r>
      <w:r>
        <w:t xml:space="preserve"> </w:t>
      </w:r>
      <w:r>
        <w:t xml:space="preserve">35. Socolar, J. B., Gilroy, J. J., Kunin, W. E., &amp; Edwards, D. P. (2016). How should beta-diversity inform biodiversity conservation?</w:t>
      </w:r>
      <w:r>
        <w:t xml:space="preserve"> </w:t>
      </w:r>
      <w:r>
        <w:rPr>
          <w:i/>
          <w:iCs/>
        </w:rPr>
        <w:t xml:space="preserve">Trends in Ecology &amp; Evolution</w:t>
      </w:r>
      <w:r>
        <w:t xml:space="preserve">, 31, 67–80. https://doi.org/10.1016/j.tree.2015.11.005</w:t>
      </w:r>
    </w:p>
    <w:p>
      <w:pPr>
        <w:pStyle w:val="BodyText"/>
      </w:pPr>
      <w:r>
        <w:rPr>
          <w:i/>
          <w:iCs/>
        </w:rPr>
        <w:t xml:space="preserve">Traits, winners–losers, drivers</w:t>
      </w:r>
      <w:r>
        <w:t xml:space="preserve"> </w:t>
      </w:r>
      <w:r>
        <w:t xml:space="preserve">36. Bowler, D. E., et al. (2017). Cross-realm assessment of climate change impacts on species’ abundance trends.</w:t>
      </w:r>
      <w:r>
        <w:t xml:space="preserve"> </w:t>
      </w:r>
      <w:r>
        <w:rPr>
          <w:i/>
          <w:iCs/>
        </w:rPr>
        <w:t xml:space="preserve">Nature Ecology &amp; Evolution</w:t>
      </w:r>
      <w:r>
        <w:t xml:space="preserve">, 1, 0067. https://doi.org/10.1038/s41559-016-0067</w:t>
      </w:r>
      <w:r>
        <w:t xml:space="preserve"> </w:t>
      </w:r>
      <w:r>
        <w:t xml:space="preserve">37. Le Viol, I., et al. (2012). More and more generalists: two decades of changes in the European avifauna.</w:t>
      </w:r>
      <w:r>
        <w:t xml:space="preserve"> </w:t>
      </w:r>
      <w:r>
        <w:rPr>
          <w:i/>
          <w:iCs/>
        </w:rPr>
        <w:t xml:space="preserve">Biology Letters</w:t>
      </w:r>
      <w:r>
        <w:t xml:space="preserve">, 8, 780–782. https://doi.org/10.1098/rsbl.2012.0496</w:t>
      </w:r>
      <w:r>
        <w:t xml:space="preserve"> </w:t>
      </w:r>
      <w:r>
        <w:t xml:space="preserve">38. Stephens, P. A., et al. (2016). Consistent response of bird populations to climate change on two continents.</w:t>
      </w:r>
      <w:r>
        <w:t xml:space="preserve"> </w:t>
      </w:r>
      <w:r>
        <w:rPr>
          <w:i/>
          <w:iCs/>
        </w:rPr>
        <w:t xml:space="preserve">Science</w:t>
      </w:r>
      <w:r>
        <w:t xml:space="preserve">, 352, 84–87. https://doi.org/10.1126/science.aac4858</w:t>
      </w:r>
      <w:r>
        <w:t xml:space="preserve"> </w:t>
      </w:r>
      <w:r>
        <w:t xml:space="preserve">39. Newbold, T., et al. (2015). Global effects of land use on local terrestrial biodiversity.</w:t>
      </w:r>
      <w:r>
        <w:t xml:space="preserve"> </w:t>
      </w:r>
      <w:r>
        <w:rPr>
          <w:i/>
          <w:iCs/>
        </w:rPr>
        <w:t xml:space="preserve">Nature</w:t>
      </w:r>
      <w:r>
        <w:t xml:space="preserve">, 520, 45–50. https://doi.org/10.1038/nature14324</w:t>
      </w:r>
      <w:r>
        <w:t xml:space="preserve"> </w:t>
      </w:r>
      <w:r>
        <w:t xml:space="preserve">40. Pigot, A. L., et al. (2020). Macroevolutionary convergence connects morphological form to ecological function in birds.</w:t>
      </w:r>
      <w:r>
        <w:t xml:space="preserve"> </w:t>
      </w:r>
      <w:r>
        <w:rPr>
          <w:i/>
          <w:iCs/>
        </w:rPr>
        <w:t xml:space="preserve">Nature Ecology &amp; Evolution</w:t>
      </w:r>
      <w:r>
        <w:t xml:space="preserve">, 4, 230–239. https://doi.org/10.1038/s41559-019-1070-4</w:t>
      </w:r>
      <w:r>
        <w:t xml:space="preserve"> </w:t>
      </w:r>
      <w:r>
        <w:t xml:space="preserve">41. Borcard, D., Legendre, P., &amp; Drapeau, P. (1992). Partialling out the spatial component of ecological variation.</w:t>
      </w:r>
      <w:r>
        <w:t xml:space="preserve"> </w:t>
      </w:r>
      <w:r>
        <w:rPr>
          <w:i/>
          <w:iCs/>
        </w:rPr>
        <w:t xml:space="preserve">Ecology</w:t>
      </w:r>
      <w:r>
        <w:t xml:space="preserve">, 73, 1045–1055. https://doi.org/10.2307/1940179</w:t>
      </w:r>
      <w:r>
        <w:t xml:space="preserve"> </w:t>
      </w:r>
      <w:r>
        <w:t xml:space="preserve">42. Breiman, L. (2001). Random forests.</w:t>
      </w:r>
      <w:r>
        <w:t xml:space="preserve"> </w:t>
      </w:r>
      <w:r>
        <w:rPr>
          <w:i/>
          <w:iCs/>
        </w:rPr>
        <w:t xml:space="preserve">Machine Learning</w:t>
      </w:r>
      <w:r>
        <w:t xml:space="preserve">, 45, 5–32. https://doi.org/10.1023/A:1010933404324</w:t>
      </w:r>
    </w:p>
    <w:p>
      <w:pPr>
        <w:pStyle w:val="BodyText"/>
      </w:pPr>
      <w:r>
        <w:rPr>
          <w:i/>
          <w:iCs/>
        </w:rPr>
        <w:t xml:space="preserve">China and regional context (placeholders — author to select specific papers, then verify DOI)</w:t>
      </w:r>
      <w:r>
        <w:t xml:space="preserve"> </w:t>
      </w:r>
      <w:r>
        <w:t xml:space="preserve">43. [China avian diversity / range-shift reference — e.g. Si, Liang, or Zhang et al.]</w:t>
      </w:r>
      <w:r>
        <w:t xml:space="preserve"> </w:t>
      </w:r>
      <w:r>
        <w:t xml:space="preserve">44. [China protected-area / conservation-investment reference]</w:t>
      </w:r>
      <w:r>
        <w:t xml:space="preserve"> </w:t>
      </w:r>
      <w:r>
        <w:t xml:space="preserve">45. [China urbanization–biodiversity reference]</w:t>
      </w:r>
    </w:p>
    <w:p>
      <w:r>
        <w:pict>
          <v:rect style="width:0;height:1.5pt" o:hralign="center" o:hrstd="t" o:hr="t"/>
        </w:pict>
      </w:r>
    </w:p>
    <w:bookmarkEnd w:id="32"/>
    <w:bookmarkStart w:id="33" w:name="supplementary-information-outline"/>
    <w:p>
      <w:pPr>
        <w:pStyle w:val="Heading2"/>
      </w:pPr>
      <w:r>
        <w:t xml:space="preserve">Supplementary Information outline</w:t>
      </w:r>
    </w:p>
    <w:p>
      <w:pPr>
        <w:pStyle w:val="Compact"/>
        <w:numPr>
          <w:ilvl w:val="0"/>
          <w:numId w:val="1002"/>
        </w:numPr>
      </w:pPr>
      <w:r>
        <w:rPr>
          <w:b/>
          <w:bCs/>
        </w:rPr>
        <w:t xml:space="preserve">S1</w:t>
      </w:r>
      <w:r>
        <w:t xml:space="preserve"> </w:t>
      </w:r>
      <w:r>
        <w:t xml:space="preserve">Data sources, access terms, source-aware deduplication audit, source-wise annual coverage table.</w:t>
      </w:r>
    </w:p>
    <w:p>
      <w:pPr>
        <w:pStyle w:val="Compact"/>
        <w:numPr>
          <w:ilvl w:val="0"/>
          <w:numId w:val="1002"/>
        </w:numPr>
      </w:pPr>
      <w:r>
        <w:rPr>
          <w:b/>
          <w:bCs/>
        </w:rPr>
        <w:t xml:space="preserve">S2</w:t>
      </w:r>
      <w:r>
        <w:t xml:space="preserve"> </w:t>
      </w:r>
      <w:r>
        <w:t xml:space="preserve">Relaxed-closure justification; three-year-window sensitivity analysis.</w:t>
      </w:r>
    </w:p>
    <w:p>
      <w:pPr>
        <w:pStyle w:val="Compact"/>
        <w:numPr>
          <w:ilvl w:val="0"/>
          <w:numId w:val="1002"/>
        </w:numPr>
      </w:pPr>
      <w:r>
        <w:rPr>
          <w:b/>
          <w:bCs/>
        </w:rPr>
        <w:t xml:space="preserve">S3</w:t>
      </w:r>
      <w:r>
        <w:t xml:space="preserve"> </w:t>
      </w:r>
      <w:r>
        <w:t xml:space="preserve">Spatial</w:t>
      </w:r>
      <w:r>
        <w:t xml:space="preserve"> </w:t>
      </w:r>
      <w:r>
        <w:rPr>
          <w:rStyle w:val="VerbatimChar"/>
        </w:rPr>
        <w:t xml:space="preserve">phi</w:t>
      </w:r>
      <w:r>
        <w:t xml:space="preserve"> </w:t>
      </w:r>
      <w:r>
        <w:t xml:space="preserve">prior specification and prior-sensitivity analysis; posterior-bound check.</w:t>
      </w:r>
    </w:p>
    <w:p>
      <w:pPr>
        <w:pStyle w:val="Compact"/>
        <w:numPr>
          <w:ilvl w:val="0"/>
          <w:numId w:val="1002"/>
        </w:numPr>
      </w:pPr>
      <w:r>
        <w:rPr>
          <w:b/>
          <w:bCs/>
        </w:rPr>
        <w:t xml:space="preserve">S4</w:t>
      </w:r>
      <w:r>
        <w:t xml:space="preserve"> </w:t>
      </w:r>
      <w:r>
        <w:t xml:space="preserve">MCMC diagnostics (R̂, ESS, trace plots), WAIC, posterior predictive checks for both models.</w:t>
      </w:r>
    </w:p>
    <w:p>
      <w:pPr>
        <w:pStyle w:val="Compact"/>
        <w:numPr>
          <w:ilvl w:val="0"/>
          <w:numId w:val="1002"/>
        </w:numPr>
      </w:pPr>
      <w:r>
        <w:rPr>
          <w:b/>
          <w:bCs/>
        </w:rPr>
        <w:t xml:space="preserve">S5</w:t>
      </w:r>
      <w:r>
        <w:t xml:space="preserve"> </w:t>
      </w:r>
      <w:r>
        <w:t xml:space="preserve">Trait sources, imputation, and complete-case construction; phylogeny matching and probability-weighted PD/MPD.</w:t>
      </w:r>
    </w:p>
    <w:p>
      <w:pPr>
        <w:pStyle w:val="Compact"/>
        <w:numPr>
          <w:ilvl w:val="0"/>
          <w:numId w:val="1002"/>
        </w:numPr>
      </w:pPr>
      <w:r>
        <w:rPr>
          <w:b/>
          <w:bCs/>
        </w:rPr>
        <w:t xml:space="preserve">S6</w:t>
      </w:r>
      <w:r>
        <w:t xml:space="preserve"> </w:t>
      </w:r>
      <w:r>
        <w:t xml:space="preserve">Probabilistic Baselga partitioning: derivation, bounds, decomposition properties; spatial beta-diversity convergence analysis.</w:t>
      </w:r>
    </w:p>
    <w:p>
      <w:pPr>
        <w:pStyle w:val="Compact"/>
        <w:numPr>
          <w:ilvl w:val="0"/>
          <w:numId w:val="1002"/>
        </w:numPr>
      </w:pPr>
      <w:r>
        <w:rPr>
          <w:b/>
          <w:bCs/>
        </w:rPr>
        <w:t xml:space="preserve">S7</w:t>
      </w:r>
      <w:r>
        <w:t xml:space="preserve"> </w:t>
      </w:r>
      <w:r>
        <w:t xml:space="preserve">Effort-confound controls: detection–effort posterior, effort-saturated subset, fixed-effort counterfactual, data-source detection term.</w:t>
      </w:r>
    </w:p>
    <w:p>
      <w:pPr>
        <w:pStyle w:val="Compact"/>
        <w:numPr>
          <w:ilvl w:val="0"/>
          <w:numId w:val="1002"/>
        </w:numPr>
      </w:pPr>
      <w:r>
        <w:rPr>
          <w:b/>
          <w:bCs/>
        </w:rPr>
        <w:t xml:space="preserve">S8</w:t>
      </w:r>
      <w:r>
        <w:t xml:space="preserve"> </w:t>
      </w:r>
      <w:r>
        <w:t xml:space="preserve">Full 500-species trend table and species list; supplementary winner–loser panels.</w:t>
      </w:r>
    </w:p>
    <w:p>
      <w:pPr>
        <w:pStyle w:val="Compact"/>
        <w:numPr>
          <w:ilvl w:val="0"/>
          <w:numId w:val="1002"/>
        </w:numPr>
      </w:pPr>
      <w:r>
        <w:rPr>
          <w:b/>
          <w:bCs/>
        </w:rPr>
        <w:t xml:space="preserve">S9</w:t>
      </w:r>
      <w:r>
        <w:t xml:space="preserve"> </w:t>
      </w:r>
      <w:r>
        <w:t xml:space="preserve">Naive-versus-corrected trend comparison maps; 50-km grid pilot; breeding-season versus year-round sensitivity.</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2026-06-02T20:36:29Z</dcterms:created>
  <dcterms:modified xsi:type="dcterms:W3CDTF">2026-06-02T20:36:29Z</dcterms:modified>
</cp:coreProperties>
</file>

<file path=docProps/custom.xml><?xml version="1.0" encoding="utf-8"?>
<Properties xmlns="http://schemas.openxmlformats.org/officeDocument/2006/custom-properties" xmlns:vt="http://schemas.openxmlformats.org/officeDocument/2006/docPropsVTypes"/>
</file>