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nature-ecology-evolution"/>
    <w:p>
      <w:pPr>
        <w:pStyle w:val="Heading1"/>
      </w:pPr>
      <w:r>
        <w:t xml:space="preserve">Cover Letter —</w:t>
      </w:r>
      <w:r>
        <w:t xml:space="preserve"> </w:t>
      </w:r>
      <w:r>
        <w:rPr>
          <w:i/>
          <w:iCs/>
        </w:rPr>
        <w:t xml:space="preserve">Nature Ecology &amp; Evolution</w:t>
      </w:r>
    </w:p>
    <w:p>
      <w:pPr>
        <w:pStyle w:val="FirstParagraph"/>
      </w:pPr>
      <w:r>
        <w:t xml:space="preserve">[Date]</w:t>
      </w:r>
    </w:p>
    <w:p>
      <w:pPr>
        <w:pStyle w:val="BodyText"/>
      </w:pPr>
      <w:r>
        <w:t xml:space="preserve">Dear Editor,</w:t>
      </w:r>
    </w:p>
    <w:p>
      <w:pPr>
        <w:pStyle w:val="BodyText"/>
      </w:pPr>
      <w:r>
        <w:t xml:space="preserve">We submit our manuscript,</w:t>
      </w:r>
      <w:r>
        <w:t xml:space="preserve"> </w:t>
      </w:r>
      <w:r>
        <w:rPr>
          <w:b/>
          <w:bCs/>
        </w:rPr>
        <w:t xml:space="preserve">“Detection-corrected citizen science reveals taxonomic expansion without functional differentiation in Chinese bird communities, 2000–2024,”</w:t>
      </w:r>
      <w:r>
        <w:t xml:space="preserve"> </w:t>
      </w:r>
      <w:r>
        <w:t xml:space="preserve">for consideration as an Article in</w:t>
      </w:r>
      <w:r>
        <w:t xml:space="preserve"> </w:t>
      </w:r>
      <w:r>
        <w:rPr>
          <w:i/>
          <w:iCs/>
        </w:rPr>
        <w:t xml:space="preserve">Nature Ecology &amp; Evolution</w:t>
      </w:r>
      <w:r>
        <w:t xml:space="preserve">.</w:t>
      </w:r>
    </w:p>
    <w:p>
      <w:pPr>
        <w:pStyle w:val="BodyText"/>
      </w:pPr>
      <w:r>
        <w:t xml:space="preserve">Citizen-science records are now the backbone of continental biodiversity assessment, but their greatest strength — explosive growth in observer effort — is also their greatest interpretive hazard: rising species counts can reflect more observation rather than more biodiversity. We confront this problem at national scale and show that resolving it changes the ecological conclusion. Integrating 25 years of China Birdwatching Records Center, GBIF and eBird data on a 100-km grid, we fit a spatial multispecies dynamic occupancy model for 200 species and propagate the occupancy posterior into taxonomic, functional, phylogenetic and beta-diversity space, with a 500-species temporal model testing generality.</w:t>
      </w:r>
    </w:p>
    <w:p>
      <w:pPr>
        <w:pStyle w:val="BodyText"/>
      </w:pPr>
      <w:r>
        <w:t xml:space="preserve">Our central finding is a divergence that richness alone cannot reveal. Detection-corrected richness rose by roughly a quarter, yet functional trait volume and Rao’s quadratic entropy did not increase, recent beta diversity collapsed from turnover toward nestedness, and the expanding species were overwhelmingly broad-habitat generalists. This is the multidimensional signature of biotic homogenization masquerading as recovery. Critically, we do not assume the occupancy model dissolves the effort confound; we test it, showing the increase persists in effort-saturated grids, under a fixed-effort counterfactual, and after adding a data-source detection term.</w:t>
      </w:r>
    </w:p>
    <w:p>
      <w:pPr>
        <w:pStyle w:val="BodyText"/>
      </w:pPr>
      <w:r>
        <w:t xml:space="preserve">We believe the study fits</w:t>
      </w:r>
      <w:r>
        <w:t xml:space="preserve"> </w:t>
      </w:r>
      <w:r>
        <w:rPr>
          <w:i/>
          <w:iCs/>
        </w:rPr>
        <w:t xml:space="preserve">Nature Ecology &amp; Evolution</w:t>
      </w:r>
      <w:r>
        <w:t xml:space="preserve"> </w:t>
      </w:r>
      <w:r>
        <w:t xml:space="preserve">because it carries a general methodological and conceptual message beyond its region: detection correction must be propagated into functional and compositional axes, because taxonomic and functional trajectories can diverge in sign, and monitoring that stops at corrected richness risks certifying homogenization as recovery. The work is, to our knowledge, the first detection-corrected, multidimensional account of contemporary avian community change in China.</w:t>
      </w:r>
    </w:p>
    <w:p>
      <w:pPr>
        <w:pStyle w:val="BodyText"/>
      </w:pPr>
      <w:r>
        <w:t xml:space="preserve">The manuscript is original, not under consideration elsewhere, and all authors approve submission. We have no competing interests. We suggest the following referees with relevant expertise in occupancy modelling, citizen-science inference and avian macroecology: [Name 1], [Name 2], [Name 3]. We request the exclusion of [if applicable].</w:t>
      </w:r>
    </w:p>
    <w:p>
      <w:pPr>
        <w:pStyle w:val="BodyText"/>
      </w:pPr>
      <w:r>
        <w:t xml:space="preserve">Thank you for considering our work.</w:t>
      </w:r>
    </w:p>
    <w:p>
      <w:pPr>
        <w:pStyle w:val="BodyText"/>
      </w:pPr>
      <w:r>
        <w:t xml:space="preserve">Sincerely,</w:t>
      </w:r>
      <w:r>
        <w:t xml:space="preserve"> </w:t>
      </w:r>
      <w:r>
        <w:t xml:space="preserve">Chenchen Ding, on behalf of all authors</w:t>
      </w:r>
      <w:r>
        <w:t xml:space="preserve"> </w:t>
      </w:r>
      <w:r>
        <w:t xml:space="preserve">[Affiliation], Peking University</w:t>
      </w:r>
      <w:r>
        <w:t xml:space="preserve"> </w:t>
      </w:r>
      <w:r>
        <w:t xml:space="preserve">chenchending1992@gmail.com</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2026-06-02T20:36:29Z</dcterms:created>
  <dcterms:modified xsi:type="dcterms:W3CDTF">2026-06-02T20:36:29Z</dcterms:modified>
</cp:coreProperties>
</file>

<file path=docProps/custom.xml><?xml version="1.0" encoding="utf-8"?>
<Properties xmlns="http://schemas.openxmlformats.org/officeDocument/2006/custom-properties" xmlns:vt="http://schemas.openxmlformats.org/officeDocument/2006/docPropsVTypes"/>
</file>