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To the Editors,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Nature Communications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“Thermoregulation sets how strongly climate</w:t>
      </w:r>
      <w:r>
        <w:rPr>
          <w:b/>
          <w:bCs/>
        </w:rPr>
        <w:t xml:space="preserve"> </w:t>
      </w:r>
      <w:r>
        <w:rPr>
          <w:b/>
          <w:bCs/>
        </w:rPr>
        <w:t xml:space="preserve">filters vertebrate assemblages, and reserves leave a directional functional gap”</w:t>
      </w:r>
      <w:r>
        <w:t xml:space="preserve">, for</w:t>
      </w:r>
      <w:r>
        <w:t xml:space="preserve"> </w:t>
      </w:r>
      <w:r>
        <w:t xml:space="preserve">publication as an Article.</w:t>
      </w:r>
    </w:p>
    <w:p>
      <w:pPr>
        <w:pStyle w:val="BodyText"/>
      </w:pPr>
      <w:r>
        <w:rPr>
          <w:b/>
          <w:bCs/>
        </w:rPr>
        <w:t xml:space="preserve">What the paper reports.</w:t>
      </w:r>
      <w:r>
        <w:t xml:space="preserve"> </w:t>
      </w:r>
      <w:r>
        <w:t xml:space="preserve">Trait-based biogeography has a standard move: collapse many</w:t>
      </w:r>
      <w:r>
        <w:t xml:space="preserve"> </w:t>
      </w:r>
      <w:r>
        <w:t xml:space="preserve">traits into one composite axis, then ask which environmental gradient explains it. Using</w:t>
      </w:r>
      <w:r>
        <w:t xml:space="preserve"> </w:t>
      </w:r>
      <w:r>
        <w:t xml:space="preserve">2,837 terrestrial vertebrate species across 3,782 50-km cells of China, we show that both</w:t>
      </w:r>
      <w:r>
        <w:t xml:space="preserve"> </w:t>
      </w:r>
      <w:r>
        <w:t xml:space="preserve">steps discard information, and that what is discarded is exactly what conservation planning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Three results carry the paper.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Assemblage trait structure is at least three separable dimensions, and compositing</w:t>
      </w:r>
      <w:r>
        <w:rPr>
          <w:b/>
          <w:bCs/>
        </w:rPr>
        <w:t xml:space="preserve"> </w:t>
      </w:r>
      <w:r>
        <w:rPr>
          <w:b/>
          <w:bCs/>
        </w:rPr>
        <w:t xml:space="preserve">them costs sensitivity.</w:t>
      </w:r>
      <w:r>
        <w:t xml:space="preserve"> </w:t>
      </w:r>
      <w:r>
        <w:t xml:space="preserve">Body size, pace of life and niche breadth are near-independent</w:t>
      </w:r>
      <w:r>
        <w:t xml:space="preserve"> </w:t>
      </w:r>
      <w:r>
        <w:t xml:space="preserve">(|</w:t>
      </w:r>
      <w:r>
        <w:rPr>
          <w:i/>
          <w:iCs/>
        </w:rPr>
        <w:t xml:space="preserve">r</w:t>
      </w:r>
      <w:r>
        <w:t xml:space="preserve">| ≤ 0.30), and combining traits into a composite axis</w:t>
      </w:r>
      <w:r>
        <w:t xml:space="preserve"> </w:t>
      </w:r>
      <w:r>
        <w:rPr>
          <w:i/>
          <w:iCs/>
        </w:rPr>
        <w:t xml:space="preserve">weakens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signal in six of eight comparisons. The conventional</w:t>
      </w:r>
      <w:r>
        <w:t xml:space="preserve"> </w:t>
      </w:r>
      <w:r>
        <w:t xml:space="preserve">“PCA-then-regress”</w:t>
      </w:r>
      <w:r>
        <w:t xml:space="preserve"> </w:t>
      </w:r>
      <w:r>
        <w:t xml:space="preserve">pipeline therefore</w:t>
      </w:r>
      <w:r>
        <w:t xml:space="preserve"> </w:t>
      </w:r>
      <w:r>
        <w:t xml:space="preserve">understates trait–environment coupling.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Climate dominates in every class, but thermoregulatory mode sets how strongly.</w:t>
      </w:r>
      <w:r>
        <w:t xml:space="preserve"> </w:t>
      </w:r>
      <w:r>
        <w:t xml:space="preserve">Ambient</w:t>
      </w:r>
      <w:r>
        <w:t xml:space="preserve"> </w:t>
      </w:r>
      <w:r>
        <w:t xml:space="preserve">energy affects ectotherm assemblages about 2.3 times more strongly than endotherm</w:t>
      </w:r>
      <w:r>
        <w:t xml:space="preserve"> </w:t>
      </w:r>
      <w:r>
        <w:t xml:space="preserve">assemblages, stable across specifications (1.98–2.63; every 95% CI excluding 1). We test</w:t>
      </w:r>
      <w:r>
        <w:t xml:space="preserve"> </w:t>
      </w:r>
      <w:r>
        <w:t xml:space="preserve">this with the fourth-corner max test rather than naive community-weighted-mean</w:t>
      </w:r>
      <w:r>
        <w:t xml:space="preserve"> </w:t>
      </w:r>
      <w:r>
        <w:t xml:space="preserve">regression, having first quantified the latter’s Type I inflation on these data</w:t>
      </w:r>
      <w:r>
        <w:t xml:space="preserve"> </w:t>
      </w:r>
      <w:r>
        <w:t xml:space="preserve">(1.27–1.72-fold, worst in ectotherms).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reserve network’s functional shortfall has a direction, and the direction reverses</w:t>
      </w:r>
      <w:r>
        <w:rPr>
          <w:b/>
          <w:bCs/>
        </w:rPr>
        <w:t xml:space="preserve"> </w:t>
      </w:r>
      <w:r>
        <w:rPr>
          <w:b/>
          <w:bCs/>
        </w:rPr>
        <w:t xml:space="preserve">between classes.</w:t>
      </w:r>
      <w:r>
        <w:t xml:space="preserve"> </w:t>
      </w:r>
      <w:r>
        <w:t xml:space="preserve">The network covers 10.36% of China’s land but brings only 2.9% of</w:t>
      </w:r>
      <w:r>
        <w:t xml:space="preserve"> </w:t>
      </w:r>
      <w:r>
        <w:t xml:space="preserve">species to the Kunming–Montreal target of 30% of range protected; an optimal layout of the</w:t>
      </w:r>
      <w:r>
        <w:t xml:space="preserve"> </w:t>
      </w:r>
      <w:r>
        <w:t xml:space="preserve">same area would reach 50.7%. Large mammals are the best-protected trait end (+0.283) while</w:t>
      </w:r>
      <w:r>
        <w:t xml:space="preserve"> </w:t>
      </w:r>
      <w:r>
        <w:t xml:space="preserve">large reptiles are the worst (−0.308). A model-free institutional record agrees: of 1,028</w:t>
      </w:r>
      <w:r>
        <w:t xml:space="preserve"> </w:t>
      </w:r>
      <w:r>
        <w:t xml:space="preserve">reserves, 17.9% name mammals as a protection target against 1.1% for reptiles.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Nature Communications</w:t>
      </w:r>
      <w:r>
        <w:rPr>
          <w:b/>
          <w:bCs/>
        </w:rPr>
        <w:t xml:space="preserve">.</w:t>
      </w:r>
      <w:r>
        <w:t xml:space="preserve"> </w:t>
      </w:r>
      <w:r>
        <w:t xml:space="preserve">The paper speaks to three readerships at once. For anyone who</w:t>
      </w:r>
      <w:r>
        <w:t xml:space="preserve"> </w:t>
      </w:r>
      <w:r>
        <w:t xml:space="preserve">works with trait data, the methodological result — that compositing dilutes signal and that</w:t>
      </w:r>
      <w:r>
        <w:t xml:space="preserve"> </w:t>
      </w:r>
      <w:r>
        <w:t xml:space="preserve">naive inference inflates it — applies well beyond vertebrates or China. For macroecologists,</w:t>
      </w:r>
      <w:r>
        <w:t xml:space="preserve"> </w:t>
      </w:r>
      <w:r>
        <w:t xml:space="preserve">it tests the classical richness hypotheses on trait composition with one named predictor per</w:t>
      </w:r>
      <w:r>
        <w:t xml:space="preserve"> </w:t>
      </w:r>
      <w:r>
        <w:t xml:space="preserve">hypothesis, across four vertebrate classes on one data foundation. For conservation science</w:t>
      </w:r>
      <w:r>
        <w:t xml:space="preserve"> </w:t>
      </w:r>
      <w:r>
        <w:t xml:space="preserve">and policy, it audits a megadiverse country’s reserve network against Target 3 of the</w:t>
      </w:r>
      <w:r>
        <w:t xml:space="preserve"> </w:t>
      </w:r>
      <w:r>
        <w:t xml:space="preserve">Kunming–Montreal framework and maps where the functional gap can be closed. We think that</w:t>
      </w:r>
      <w:r>
        <w:t xml:space="preserve"> </w:t>
      </w:r>
      <w:r>
        <w:t xml:space="preserve">breadth is what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exists to publish.</w:t>
      </w:r>
    </w:p>
    <w:p>
      <w:pPr>
        <w:pStyle w:val="BodyText"/>
      </w:pPr>
      <w:r>
        <w:rPr>
          <w:b/>
          <w:bCs/>
        </w:rPr>
        <w:t xml:space="preserve">On how the evidence is reported.</w:t>
      </w:r>
      <w:r>
        <w:t xml:space="preserve"> </w:t>
      </w:r>
      <w:r>
        <w:t xml:space="preserve">We pre-specified refutation conditions for each</w:t>
      </w:r>
      <w:r>
        <w:t xml:space="preserve"> </w:t>
      </w:r>
      <w:r>
        <w:t xml:space="preserve">hypothesis, and one of them was nearly met: ectotherms respond more strongly to five of six</w:t>
      </w:r>
      <w:r>
        <w:t xml:space="preserve"> </w:t>
      </w:r>
      <w:r>
        <w:t xml:space="preserve">predictors, not only to thermal ones. We therefore report thermal buffering as</w:t>
      </w:r>
      <w:r>
        <w:t xml:space="preserve"> </w:t>
      </w:r>
      <w:r>
        <w:rPr>
          <w:b/>
          <w:bCs/>
        </w:rPr>
        <w:t xml:space="preserve">partially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</w:t>
      </w:r>
      <w:r>
        <w:t xml:space="preserve">, replace the failed single negative control with a dose–response test across</w:t>
      </w:r>
      <w:r>
        <w:t xml:space="preserve"> </w:t>
      </w:r>
      <w:r>
        <w:t xml:space="preserve">eight predictors 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0.037), and carry that qualification into the abstract.</w:t>
      </w:r>
      <w:r>
        <w:t xml:space="preserve"> </w:t>
      </w:r>
      <w:r>
        <w:t xml:space="preserve">Where earlier analyses failed their own checks, the paper reports the correction rather than</w:t>
      </w:r>
      <w:r>
        <w:t xml:space="preserve"> </w:t>
      </w:r>
      <w:r>
        <w:t xml:space="preserve">the original result: an apparent amphibian over-dispersion signal disappeared once the null</w:t>
      </w:r>
      <w:r>
        <w:t xml:space="preserve"> </w:t>
      </w:r>
      <w:r>
        <w:t xml:space="preserve">model weighted species by occupancy (+1.70 to +0.08), and a claim that range maps understate</w:t>
      </w:r>
      <w:r>
        <w:t xml:space="preserve"> </w:t>
      </w:r>
      <w:r>
        <w:t xml:space="preserve">anthropogenic effects held only for birds once identical cells were compared, and is stated</w:t>
      </w:r>
      <w:r>
        <w:t xml:space="preserve"> </w:t>
      </w:r>
      <w:r>
        <w:t xml:space="preserve">that narrowly.</w:t>
      </w:r>
    </w:p>
    <w:p>
      <w:pPr>
        <w:pStyle w:val="BodyText"/>
      </w:pPr>
      <w:r>
        <w:rPr>
          <w:b/>
          <w:bCs/>
        </w:rPr>
        <w:t xml:space="preserve">Format.</w:t>
      </w:r>
      <w:r>
        <w:t xml:space="preserve"> </w:t>
      </w:r>
      <w:r>
        <w:t xml:space="preserve">The manuscript follows the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Article structure</w:t>
      </w:r>
      <w:r>
        <w:t xml:space="preserve"> </w:t>
      </w:r>
      <w:r>
        <w:t xml:space="preserve">(Introduction, Results, Discussion, Methods). The main text is 4,288 words, the abstract</w:t>
      </w:r>
      <w:r>
        <w:t xml:space="preserve"> </w:t>
      </w:r>
      <w:r>
        <w:t xml:space="preserve">198 words and the title 15 words, with 8 display items, 25 Supplementary Figures and 28</w:t>
      </w:r>
      <w:r>
        <w:t xml:space="preserve"> </w:t>
      </w:r>
      <w:r>
        <w:t xml:space="preserve">Supplementary Tables, all numbered in order of first citation. The use of AI tools in this</w:t>
      </w:r>
      <w:r>
        <w:t xml:space="preserve"> </w:t>
      </w:r>
      <w:r>
        <w:t xml:space="preserve">work is documented in the Methods.</w:t>
      </w:r>
    </w:p>
    <w:p>
      <w:pPr>
        <w:pStyle w:val="BodyText"/>
      </w:pPr>
      <w:r>
        <w:rPr>
          <w:b/>
          <w:bCs/>
        </w:rPr>
        <w:t xml:space="preserve">Data and code.</w:t>
      </w:r>
      <w:r>
        <w:t xml:space="preserve"> </w:t>
      </w:r>
      <w:r>
        <w:t xml:space="preserve">All code, documentation, figures and aggregated per-cell results are</w:t>
      </w:r>
      <w:r>
        <w:t xml:space="preserve"> </w:t>
      </w:r>
      <w:r>
        <w:t xml:space="preserve">public. IUCN Red List and BirdLife range polygons may not be redistributed, so the</w:t>
      </w:r>
      <w:r>
        <w:t xml:space="preserve"> </w:t>
      </w:r>
      <w:r>
        <w:t xml:space="preserve">species-by-cell matrices are excluded; the scripts rebuild them from the original public</w:t>
      </w:r>
      <w:r>
        <w:t xml:space="preserve"> </w:t>
      </w:r>
      <w:r>
        <w:t xml:space="preserve">sources with a fixed random seed.</w:t>
      </w:r>
    </w:p>
    <w:p>
      <w:pPr>
        <w:pStyle w:val="BodyText"/>
      </w:pPr>
      <w:r>
        <w:t xml:space="preserve">The manuscript is original, is not under consideration elsewhere, and all data sources are</w:t>
      </w:r>
      <w:r>
        <w:t xml:space="preserve"> </w:t>
      </w:r>
      <w:r>
        <w:t xml:space="preserve">credited. The author declares no competing interests.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b/>
          <w:bCs/>
        </w:rPr>
        <w:t xml:space="preserve">Chenchen Ding</w:t>
      </w:r>
      <w:r>
        <w:t xml:space="preserve"> </w:t>
      </w:r>
      <w:r>
        <w:t xml:space="preserve">School of Life Sciences, Peking University, Beijing 100871, China</w:t>
      </w:r>
      <w:r>
        <w:t xml:space="preserve"> </w:t>
      </w:r>
      <w:r>
        <w:t xml:space="preserve">jialeding1220@gmail.com</w:t>
      </w:r>
    </w:p>
    <w:p>
      <w:r>
        <w:pict>
          <v:rect style="width:0;height:1.5pt" o:hralign="center" o:hrstd="t" o:hr="t"/>
        </w:pict>
      </w:r>
    </w:p>
    <w:bookmarkStart w:id="9" w:name="X37d29f29d8189343d24b0961bbefd362580a63b"/>
    <w:p>
      <w:pPr>
        <w:pStyle w:val="Heading2"/>
      </w:pPr>
      <w:r>
        <w:rPr>
          <w:rFonts w:hint="eastAsia"/>
        </w:rPr>
        <w:t xml:space="preserve">〔投稿前需作者填写</w:t>
      </w:r>
      <w:r>
        <w:t xml:space="preserve"> / to be completed before submission〕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Suggested reviewers (3–5)</w:t>
      </w:r>
      <w:r>
        <w:t xml:space="preserve"> </w:t>
      </w:r>
      <w:r>
        <w:t xml:space="preserve">from the trait-biogeography, macroecological-inference and</w:t>
      </w:r>
      <w:r>
        <w:t xml:space="preserve"> </w:t>
      </w:r>
      <w:r>
        <w:t xml:space="preserve">conservation-prioritisation communities; check each for conflicts (co-authorship within</w:t>
      </w:r>
      <w:r>
        <w:t xml:space="preserve"> </w:t>
      </w:r>
      <w:r>
        <w:t xml:space="preserve">5 years, shared institution, shared funding).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Opposed reviewers</w:t>
      </w:r>
      <w:r>
        <w:t xml:space="preserve">, if any, with a one-line neutral reason.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Funding statement</w:t>
      </w:r>
      <w:r>
        <w:t xml:space="preserve"> </w:t>
      </w:r>
      <w:r>
        <w:t xml:space="preserve">— grant numbers, or an explicit statement of no specific funding.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Archived-release DOI</w:t>
      </w:r>
      <w:r>
        <w:t xml:space="preserve"> </w:t>
      </w:r>
      <w:r>
        <w:t xml:space="preserve">(Zenodo) for code and aggregated results, pasted into the Data and</w:t>
      </w:r>
      <w:r>
        <w:t xml:space="preserve"> </w:t>
      </w:r>
      <w:r>
        <w:t xml:space="preserve">Code availability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AI-use statement in the Methods</w:t>
      </w:r>
      <w:r>
        <w:t xml:space="preserve"> </w:t>
      </w:r>
      <w:r>
        <w:t xml:space="preserve">— confirm or edit the bracketed draft (see</w:t>
      </w:r>
      <w:r>
        <w:t xml:space="preserve"> </w:t>
      </w:r>
      <w:r>
        <w:rPr>
          <w:rStyle w:val="VerbatimChar"/>
        </w:rPr>
        <w:t xml:space="preserve">05_statements/AI_use_disclosure.md</w:t>
      </w:r>
      <w:r>
        <w:t xml:space="preserve">); the sentence in this letter refers to it.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2026-10-10T19:21:10Z</dcterms:created>
  <dcterms:modified xsi:type="dcterms:W3CDTF">2026-10-10T19:21:10Z</dcterms:modified>
</cp:coreProperties>
</file>